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Carbon Adsorption Capacity and Isotherm Test</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JSEA-PRO-MET-205-010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SWI-PRO-MET-205-010  Carbon Adsorption Capacity and Isotherm Test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HM-PRC-VXX-PRO209  Metallurgical Laboratory Chemical and Leach Testwork</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205  Met Lab - Chemical and Leach Testwork</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Operating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JSEA-PRO-MET-205-010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carbon adsorption capacity and isotherm test in 205  Met Lab - Chemical and Leach Testwork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Measure the equilibrium loading capacity of the activated carbon in use.</w:t>
      </w:r>
    </w:p>
    <w:p>
      <w:pPr>
        <w:pStyle w:val="ListParagraph"/>
        <w:numPr>
          <w:ilvl w:val="0"/>
          <w:numId w:val="1"/>
        </w:numPr>
        <w:spacing w:after="60" w:line="245"/>
      </w:pPr>
      <w:r>
        <w:rPr>
          <w:rFonts w:ascii="Calibri" w:cs="Calibri" w:eastAsia="Calibri" w:hAnsi="Calibri"/>
          <w:sz w:val="17"/>
          <w:szCs w:val="17"/>
        </w:rPr>
        <w:t xml:space="preserve">Capacity falls with fouling and with regeneration cycles. Falling capacity is the reason a CIL circuit quietly stops working.</w:t>
      </w:r>
    </w:p>
    <w:p>
      <w:pPr>
        <w:spacing w:after="60" w:before="0" w:line="245"/>
      </w:pPr>
      <w:r>
        <w:rPr>
          <w:rFonts w:ascii="Calibri" w:cs="Calibri" w:eastAsia="Calibri" w:hAnsi="Calibri"/>
          <w:sz w:val="17"/>
          <w:szCs w:val="17"/>
        </w:rPr>
        <w:t xml:space="preserve">It is read with work instruction SWI-PRO-MET-205-010, which gives the step-by-step method, and with HM-PRC-VXX-PRO209 Metallurgical Laboratory Chemical and Leach Testwork,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Prepare gold solutions across the concentration range the isotherm needs.</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Charge each bottle with the same mass of carbon and a different solution concentration.</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0" w:line="235"/>
            </w:pPr>
            <w:r>
              <w:rPr>
                <w:rFonts w:ascii="Calibri" w:cs="Calibri" w:eastAsia="Calibri" w:hAnsi="Calibri"/>
                <w:sz w:val="15"/>
                <w:szCs w:val="15"/>
              </w:rPr>
              <w:t xml:space="preserve">Cross-contamination from a container or cutter not cleaned between points</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Roll for long enough to reach equilibrium - the period the method sets, not until convenient.</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Separate, wash and assay the carbon and the residual solution from each bottle.</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0" w:line="235"/>
            </w:pPr>
            <w:r>
              <w:rPr>
                <w:rFonts w:ascii="Calibri" w:cs="Calibri" w:eastAsia="Calibri" w:hAnsi="Calibri"/>
                <w:sz w:val="15"/>
                <w:szCs w:val="15"/>
              </w:rPr>
              <w:t xml:space="preserve">Cross-contamination from a container or cutter not cleaned between points</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Plot carbon loading against equilibrium solution concentration to give the isotherm.</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Compare against fresh carbon and against the previous month's result on the same carbon.</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Report the capacity and the activity trend against regeneration cycles.</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Met lab bench</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Physical testwork bench and instrument</w:t>
            </w:r>
          </w:p>
        </w:tc>
      </w:tr>
    </w:tbl>
    <w:p>
      <w:pPr>
        <w:spacing w:after="60" w:before="0" w:line="245"/>
      </w:pPr>
    </w:p>
    <w:p>
      <w:pPr>
        <w:spacing w:after="60" w:before="0" w:line="245"/>
      </w:pPr>
      <w:r>
        <w:rPr>
          <w:rFonts w:ascii="Calibri" w:cs="Calibri" w:eastAsia="Calibri" w:hAnsi="Calibri"/>
          <w:sz w:val="17"/>
          <w:szCs w:val="17"/>
        </w:rPr>
        <w:t xml:space="preserve">Frequency: Monthly, and on every new carbon delivery.</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Prepare gold solutions across the concentration range the isotherm needs.</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Charge each bottle with the same mass of carbon and a different solution concentration.</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Roll for long enough to reach equilibrium - the period the method sets, not until convenient.</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Separate, wash and assay the carbon and the residual solution from each bottle.</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Plot carbon loading against equilibrium solution concentration to give the isotherm.</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Compare against fresh carbon and against the previous month's result on the same carbon.</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Report the capacity and the activity trend against regeneration cycles.</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Bottle roller</w:t>
      </w:r>
    </w:p>
    <w:p>
      <w:pPr>
        <w:pStyle w:val="ListParagraph"/>
        <w:numPr>
          <w:ilvl w:val="0"/>
          <w:numId w:val="1"/>
        </w:numPr>
        <w:spacing w:after="60" w:line="245"/>
      </w:pPr>
      <w:r>
        <w:rPr>
          <w:rFonts w:ascii="Calibri" w:cs="Calibri" w:eastAsia="Calibri" w:hAnsi="Calibri"/>
          <w:sz w:val="17"/>
          <w:szCs w:val="17"/>
        </w:rPr>
        <w:t xml:space="preserve">Bottles</w:t>
      </w:r>
    </w:p>
    <w:p>
      <w:pPr>
        <w:pStyle w:val="ListParagraph"/>
        <w:numPr>
          <w:ilvl w:val="0"/>
          <w:numId w:val="1"/>
        </w:numPr>
        <w:spacing w:after="60" w:line="245"/>
      </w:pPr>
      <w:r>
        <w:rPr>
          <w:rFonts w:ascii="Calibri" w:cs="Calibri" w:eastAsia="Calibri" w:hAnsi="Calibri"/>
          <w:sz w:val="17"/>
          <w:szCs w:val="17"/>
        </w:rPr>
        <w:t xml:space="preserve">Gold solution at known concentrations</w:t>
      </w:r>
    </w:p>
    <w:p>
      <w:pPr>
        <w:pStyle w:val="ListParagraph"/>
        <w:numPr>
          <w:ilvl w:val="0"/>
          <w:numId w:val="1"/>
        </w:numPr>
        <w:spacing w:after="60" w:line="245"/>
      </w:pPr>
      <w:r>
        <w:rPr>
          <w:rFonts w:ascii="Calibri" w:cs="Calibri" w:eastAsia="Calibri" w:hAnsi="Calibri"/>
          <w:sz w:val="17"/>
          <w:szCs w:val="17"/>
        </w:rPr>
        <w:t xml:space="preserve">Carbon samples</w:t>
      </w:r>
    </w:p>
    <w:p>
      <w:pPr>
        <w:pStyle w:val="ListParagraph"/>
        <w:numPr>
          <w:ilvl w:val="0"/>
          <w:numId w:val="1"/>
        </w:numPr>
        <w:spacing w:after="60" w:line="245"/>
      </w:pPr>
      <w:r>
        <w:rPr>
          <w:rFonts w:ascii="Calibri" w:cs="Calibri" w:eastAsia="Calibri" w:hAnsi="Calibri"/>
          <w:sz w:val="17"/>
          <w:szCs w:val="17"/>
        </w:rPr>
        <w:t xml:space="preserve">Screens</w:t>
      </w:r>
    </w:p>
    <w:p>
      <w:pPr>
        <w:pStyle w:val="ListParagraph"/>
        <w:numPr>
          <w:ilvl w:val="0"/>
          <w:numId w:val="1"/>
        </w:numPr>
        <w:spacing w:after="60" w:line="245"/>
      </w:pPr>
      <w:r>
        <w:rPr>
          <w:rFonts w:ascii="Calibri" w:cs="Calibri" w:eastAsia="Calibri" w:hAnsi="Calibri"/>
          <w:sz w:val="17"/>
          <w:szCs w:val="17"/>
        </w:rPr>
        <w:t xml:space="preserve">Balance</w:t>
      </w:r>
    </w:p>
    <w:p>
      <w:pPr>
        <w:pStyle w:val="ListParagraph"/>
        <w:numPr>
          <w:ilvl w:val="0"/>
          <w:numId w:val="1"/>
        </w:numPr>
        <w:spacing w:after="60" w:line="245"/>
      </w:pPr>
      <w:r>
        <w:rPr>
          <w:rFonts w:ascii="Calibri" w:cs="Calibri" w:eastAsia="Calibri" w:hAnsi="Calibri"/>
          <w:sz w:val="17"/>
          <w:szCs w:val="17"/>
        </w:rPr>
        <w:t xml:space="preserve">Filter apparatus</w:t>
      </w:r>
    </w:p>
    <w:p>
      <w:pPr>
        <w:pStyle w:val="ListParagraph"/>
        <w:numPr>
          <w:ilvl w:val="0"/>
          <w:numId w:val="1"/>
        </w:numPr>
        <w:spacing w:after="60" w:line="245"/>
      </w:pPr>
      <w:r>
        <w:rPr>
          <w:rFonts w:ascii="Calibri" w:cs="Calibri" w:eastAsia="Calibri" w:hAnsi="Calibri"/>
          <w:sz w:val="17"/>
          <w:szCs w:val="17"/>
        </w:rPr>
        <w:t xml:space="preserve">Fume cupboard</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SWI-PRO-MET-205-010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SWI-PRO-MET-205-010.</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KBK-MIR-MP-PRO-OPE-SOP-0007 Pengujian Kapasitas Adsorpsi Karbon</w:t>
      </w:r>
    </w:p>
    <w:p>
      <w:pPr>
        <w:pStyle w:val="ListParagraph"/>
        <w:numPr>
          <w:ilvl w:val="0"/>
          <w:numId w:val="1"/>
        </w:numPr>
        <w:spacing w:after="60" w:line="245"/>
      </w:pPr>
      <w:r>
        <w:rPr>
          <w:rFonts w:ascii="Calibri" w:cs="Calibri" w:eastAsia="Calibri" w:hAnsi="Calibri"/>
          <w:sz w:val="17"/>
          <w:szCs w:val="17"/>
        </w:rPr>
        <w:t xml:space="preserve">KBK-MIR-MP-PRO-MET-SOP-0018 Uji Ekuilibrium Karbon, received 11 Aug 2026 - the equilibrium and isotherm half</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JSEA-PRO-MET-205-010</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JSEA-PRO-MET-205-010  ·  Carbon Adsorption Capacity and Isotherm Test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