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Carbon Activity and Ball-Pan Hardness Test</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SWI-PRO-MET-205-011  Carbon Activity and Ball-Pan Hardness Test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JSEA-PRO-MET-205-011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carbon activity and ball-pan hardness test in 205  Met Lab - Chemical and Leach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Measure carbon activity and mechanical hardness.</w:t>
      </w:r>
    </w:p>
    <w:p>
      <w:pPr>
        <w:pStyle w:val="ListParagraph"/>
        <w:numPr>
          <w:ilvl w:val="0"/>
          <w:numId w:val="1"/>
        </w:numPr>
        <w:spacing w:after="60" w:line="245"/>
      </w:pPr>
      <w:r>
        <w:rPr>
          <w:rFonts w:ascii="Calibri" w:cs="Calibri" w:eastAsia="Calibri" w:hAnsi="Calibri"/>
          <w:sz w:val="17"/>
          <w:szCs w:val="17"/>
        </w:rPr>
        <w:t xml:space="preserve">Activity says whether the carbon still adsorbs. Hardness says how fast it will turn into fines and be lost.</w:t>
      </w:r>
    </w:p>
    <w:p>
      <w:pPr>
        <w:spacing w:after="60" w:before="0" w:line="245"/>
      </w:pPr>
      <w:r>
        <w:rPr>
          <w:rFonts w:ascii="Calibri" w:cs="Calibri" w:eastAsia="Calibri" w:hAnsi="Calibri"/>
          <w:sz w:val="17"/>
          <w:szCs w:val="17"/>
        </w:rPr>
        <w:t xml:space="preserve">It is read with work instruction SWI-PRO-MET-205-011, which gives the step-by-step method, and with HM-PRC-VXX-PRO209 Metallurgical Laboratory Chemical and Leach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For activity, contact a weighed carbon sample with K[Ag(CN)2] solution of known strength for the stated period.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Assay the residual solution and calculate the activity as the proportion adsorbed against the reference.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For hardness, screen the carbon to the test size fraction and weigh it.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an agitator, sample cutter, pump or screen that starts without warning</w:t>
            </w:r>
          </w:p>
          <w:p>
            <w:pPr>
              <w:spacing w:after="30" w:line="235"/>
            </w:pPr>
            <w:r>
              <w:rPr>
                <w:rFonts w:ascii="Calibri" w:cs="Calibri" w:eastAsia="Calibri" w:hAnsi="Calibri"/>
                <w:sz w:val="15"/>
                <w:szCs w:val="15"/>
              </w:rPr>
              <w:t xml:space="preserve">Hearing damage in the mill, screen, compressor and blower areas</w:t>
            </w:r>
          </w:p>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3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Run the ball-pan apparatus for the standard number of cycles with the standard ball charge.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Re-screen and weigh the fraction retained on the test screen.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an agitator, sample cutter, pump or screen that starts without warning</w:t>
            </w:r>
          </w:p>
          <w:p>
            <w:pPr>
              <w:spacing w:after="30" w:line="235"/>
            </w:pPr>
            <w:r>
              <w:rPr>
                <w:rFonts w:ascii="Calibri" w:cs="Calibri" w:eastAsia="Calibri" w:hAnsi="Calibri"/>
                <w:sz w:val="15"/>
                <w:szCs w:val="15"/>
              </w:rPr>
              <w:t xml:space="preserve">Hearing damage in the mill, screen, compressor and blower areas</w:t>
            </w:r>
          </w:p>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3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Calculate the hardness number from the mass retained.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Report activity and hardness together with the number of regeneration cycles the carbon has seen.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Monthly, and on every new carbon delivery.</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For activity, contact a weighed carbon sample with K[Ag(CN)2] solution of known strength for the stated period.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Assay the residual solution and calculate the activity as the proportion adsorbed against the reference.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For hardness, screen the carbon to the test size fraction and weigh it.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Run the ball-pan apparatus for the standard number of cycles with the standard ball charge.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Re-screen and weigh the fraction retained on the test screen.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Calculate the hardness number from the mass retained.</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activity and hardness together with the number of regeneration cycles the carbon has seen.</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Ball-pan hardness apparatus</w:t>
      </w:r>
    </w:p>
    <w:p>
      <w:pPr>
        <w:pStyle w:val="ListParagraph"/>
        <w:numPr>
          <w:ilvl w:val="0"/>
          <w:numId w:val="1"/>
        </w:numPr>
        <w:spacing w:after="60" w:line="245"/>
      </w:pPr>
      <w:r>
        <w:rPr>
          <w:rFonts w:ascii="Calibri" w:cs="Calibri" w:eastAsia="Calibri" w:hAnsi="Calibri"/>
          <w:sz w:val="17"/>
          <w:szCs w:val="17"/>
        </w:rPr>
        <w:t xml:space="preserve">Sieve set</w:t>
      </w:r>
    </w:p>
    <w:p>
      <w:pPr>
        <w:pStyle w:val="ListParagraph"/>
        <w:numPr>
          <w:ilvl w:val="0"/>
          <w:numId w:val="1"/>
        </w:numPr>
        <w:spacing w:after="60" w:line="245"/>
      </w:pPr>
      <w:r>
        <w:rPr>
          <w:rFonts w:ascii="Calibri" w:cs="Calibri" w:eastAsia="Calibri" w:hAnsi="Calibri"/>
          <w:sz w:val="17"/>
          <w:szCs w:val="17"/>
        </w:rPr>
        <w:t xml:space="preserve">Ro-Tap</w:t>
      </w:r>
    </w:p>
    <w:p>
      <w:pPr>
        <w:pStyle w:val="ListParagraph"/>
        <w:numPr>
          <w:ilvl w:val="0"/>
          <w:numId w:val="1"/>
        </w:numPr>
        <w:spacing w:after="60" w:line="245"/>
      </w:pPr>
      <w:r>
        <w:rPr>
          <w:rFonts w:ascii="Calibri" w:cs="Calibri" w:eastAsia="Calibri" w:hAnsi="Calibri"/>
          <w:sz w:val="17"/>
          <w:szCs w:val="17"/>
        </w:rPr>
        <w:t xml:space="preserve">K[Ag(CN)2] solution</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Drying oven</w:t>
      </w:r>
    </w:p>
    <w:p>
      <w:pPr>
        <w:pStyle w:val="ListParagraph"/>
        <w:numPr>
          <w:ilvl w:val="0"/>
          <w:numId w:val="1"/>
        </w:numPr>
        <w:spacing w:after="60" w:line="245"/>
      </w:pPr>
      <w:r>
        <w:rPr>
          <w:rFonts w:ascii="Calibri" w:cs="Calibri" w:eastAsia="Calibri" w:hAnsi="Calibri"/>
          <w:sz w:val="17"/>
          <w:szCs w:val="17"/>
        </w:rPr>
        <w:t xml:space="preserve">Bottle roller</w:t>
      </w:r>
    </w:p>
    <w:p>
      <w:pPr>
        <w:pStyle w:val="ListParagraph"/>
        <w:numPr>
          <w:ilvl w:val="0"/>
          <w:numId w:val="1"/>
        </w:numPr>
        <w:spacing w:after="60" w:line="245"/>
      </w:pPr>
      <w:r>
        <w:rPr>
          <w:rFonts w:ascii="Calibri" w:cs="Calibri" w:eastAsia="Calibri" w:hAnsi="Calibri"/>
          <w:sz w:val="17"/>
          <w:szCs w:val="17"/>
        </w:rPr>
        <w:t xml:space="preserve">Fume cupboard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SWI-PRO-MET-205-011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SWI-PRO-MET-205-011.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KBK-MIR-MP-PRO-OPE-SOP-0005 Uji Kekerasan Ball-Pan Karbon Aktif</w:t>
      </w:r>
    </w:p>
    <w:p>
      <w:pPr>
        <w:pStyle w:val="ListParagraph"/>
        <w:numPr>
          <w:ilvl w:val="0"/>
          <w:numId w:val="1"/>
        </w:numPr>
        <w:spacing w:after="60" w:line="245"/>
      </w:pPr>
      <w:r>
        <w:rPr>
          <w:rFonts w:ascii="Calibri" w:cs="Calibri" w:eastAsia="Calibri" w:hAnsi="Calibri"/>
          <w:sz w:val="17"/>
          <w:szCs w:val="17"/>
        </w:rPr>
        <w:t xml:space="preserve">KBK-MIR-MP-PRO-MET-SOP-0026 Uji Aktifitas Karbon Dengan K[Ag(CN)2], received 11 Aug 2026 - the activity half, which SOP-0005 does not cover</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JSEA-PRO-MET-205-011  ·  Carbon Activity and Ball-Pan Hardness Test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