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Resin Adsorption Capacity and Kinetics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SWI-PRO-MET-205-012  Resin Adsorption Capacity and Kinetics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JSEA-PRO-MET-205-012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resin adsorption capacity and kinetics test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Measure the loading capacity and adsorption rate of the GG1200M and GG1200C resins.</w:t>
      </w:r>
    </w:p>
    <w:p>
      <w:pPr>
        <w:pStyle w:val="ListParagraph"/>
        <w:numPr>
          <w:ilvl w:val="0"/>
          <w:numId w:val="1"/>
        </w:numPr>
        <w:spacing w:after="60" w:line="245"/>
      </w:pPr>
      <w:r>
        <w:rPr>
          <w:rFonts w:ascii="Calibri" w:cs="Calibri" w:eastAsia="Calibri" w:hAnsi="Calibri"/>
          <w:sz w:val="17"/>
          <w:szCs w:val="17"/>
        </w:rPr>
        <w:t xml:space="preserve">Resin capacity is the design basis of the whole ReCYN circuit.</w:t>
      </w:r>
    </w:p>
    <w:p>
      <w:pPr>
        <w:spacing w:after="60" w:before="0" w:line="245"/>
      </w:pPr>
      <w:r>
        <w:rPr>
          <w:rFonts w:ascii="Calibri" w:cs="Calibri" w:eastAsia="Calibri" w:hAnsi="Calibri"/>
          <w:sz w:val="17"/>
          <w:szCs w:val="17"/>
        </w:rPr>
        <w:t xml:space="preserve">It is read with work instruction SWI-PRO-MET-205-012,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To be set once the vendor data arrives.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Bottle roller</w:t>
      </w:r>
    </w:p>
    <w:p>
      <w:pPr>
        <w:pStyle w:val="ListParagraph"/>
        <w:numPr>
          <w:ilvl w:val="0"/>
          <w:numId w:val="1"/>
        </w:numPr>
        <w:spacing w:after="60" w:line="245"/>
      </w:pPr>
      <w:r>
        <w:rPr>
          <w:rFonts w:ascii="Calibri" w:cs="Calibri" w:eastAsia="Calibri" w:hAnsi="Calibri"/>
          <w:sz w:val="17"/>
          <w:szCs w:val="17"/>
        </w:rPr>
        <w:t xml:space="preserve">Resin samples</w:t>
      </w:r>
    </w:p>
    <w:p>
      <w:pPr>
        <w:pStyle w:val="ListParagraph"/>
        <w:numPr>
          <w:ilvl w:val="0"/>
          <w:numId w:val="1"/>
        </w:numPr>
        <w:spacing w:after="60" w:line="245"/>
      </w:pPr>
      <w:r>
        <w:rPr>
          <w:rFonts w:ascii="Calibri" w:cs="Calibri" w:eastAsia="Calibri" w:hAnsi="Calibri"/>
          <w:sz w:val="17"/>
          <w:szCs w:val="17"/>
        </w:rPr>
        <w:t xml:space="preserve">Screens 0.9 mm</w:t>
      </w:r>
    </w:p>
    <w:p>
      <w:pPr>
        <w:pStyle w:val="ListParagraph"/>
        <w:numPr>
          <w:ilvl w:val="0"/>
          <w:numId w:val="1"/>
        </w:numPr>
        <w:spacing w:after="60" w:line="245"/>
      </w:pPr>
      <w:r>
        <w:rPr>
          <w:rFonts w:ascii="Calibri" w:cs="Calibri" w:eastAsia="Calibri" w:hAnsi="Calibri"/>
          <w:sz w:val="17"/>
          <w:szCs w:val="17"/>
        </w:rPr>
        <w:t xml:space="preserve">Solutions at known metal and cyanide concentration</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SWI-PRO-MET-205-012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SWI-PRO-MET-205-012.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 SOP-PROC-CNREC-01 and -12, received 11 Aug 2026 - operating loading and conditioning practice</w:t>
      </w:r>
    </w:p>
    <w:p>
      <w:pPr>
        <w:pStyle w:val="ListParagraph"/>
        <w:numPr>
          <w:ilvl w:val="0"/>
          <w:numId w:val="1"/>
        </w:numPr>
        <w:spacing w:after="60" w:line="245"/>
      </w:pPr>
      <w:r>
        <w:rPr>
          <w:rFonts w:ascii="Calibri" w:cs="Calibri" w:eastAsia="Calibri" w:hAnsi="Calibri"/>
          <w:sz w:val="17"/>
          <w:szCs w:val="17"/>
        </w:rPr>
        <w:t xml:space="preserve">No Goldquip resin performance data held</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JSEA-PRO-MET-205-012  ·  Resin Adsorption Capacity and Kinetics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