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Resin Elution Efficiency and Barren Resin Loading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SWI-PRO-MET-205-013  Resin Elution Efficiency and Barren Resin Loading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JSEA-PRO-MET-205-013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resin elution efficiency and barren resin loading test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Measure how completely the elution circuit strips the resin, at the bench.</w:t>
      </w:r>
    </w:p>
    <w:p>
      <w:pPr>
        <w:pStyle w:val="ListParagraph"/>
        <w:numPr>
          <w:ilvl w:val="0"/>
          <w:numId w:val="1"/>
        </w:numPr>
        <w:spacing w:after="60" w:line="245"/>
      </w:pPr>
      <w:r>
        <w:rPr>
          <w:rFonts w:ascii="Calibri" w:cs="Calibri" w:eastAsia="Calibri" w:hAnsi="Calibri"/>
          <w:sz w:val="17"/>
          <w:szCs w:val="17"/>
        </w:rPr>
        <w:t xml:space="preserve">Barren resin loading is to the resin circuit what barren carbon is to the CIL circuit.</w:t>
      </w:r>
    </w:p>
    <w:p>
      <w:pPr>
        <w:spacing w:after="60" w:before="0" w:line="245"/>
      </w:pPr>
      <w:r>
        <w:rPr>
          <w:rFonts w:ascii="Calibri" w:cs="Calibri" w:eastAsia="Calibri" w:hAnsi="Calibri"/>
          <w:sz w:val="17"/>
          <w:szCs w:val="17"/>
        </w:rPr>
        <w:t xml:space="preserve">It is read with work instruction SWI-PRO-MET-205-013,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To be set once the vendor data arrives.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Bench elution column</w:t>
      </w:r>
    </w:p>
    <w:p>
      <w:pPr>
        <w:pStyle w:val="ListParagraph"/>
        <w:numPr>
          <w:ilvl w:val="0"/>
          <w:numId w:val="1"/>
        </w:numPr>
        <w:spacing w:after="60" w:line="245"/>
      </w:pPr>
      <w:r>
        <w:rPr>
          <w:rFonts w:ascii="Calibri" w:cs="Calibri" w:eastAsia="Calibri" w:hAnsi="Calibri"/>
          <w:sz w:val="17"/>
          <w:szCs w:val="17"/>
        </w:rPr>
        <w:t xml:space="preserve">Eluant solutions</w:t>
      </w:r>
    </w:p>
    <w:p>
      <w:pPr>
        <w:pStyle w:val="ListParagraph"/>
        <w:numPr>
          <w:ilvl w:val="0"/>
          <w:numId w:val="1"/>
        </w:numPr>
        <w:spacing w:after="60" w:line="245"/>
      </w:pPr>
      <w:r>
        <w:rPr>
          <w:rFonts w:ascii="Calibri" w:cs="Calibri" w:eastAsia="Calibri" w:hAnsi="Calibri"/>
          <w:sz w:val="17"/>
          <w:szCs w:val="17"/>
        </w:rPr>
        <w:t xml:space="preserve">Heating</w:t>
      </w:r>
    </w:p>
    <w:p>
      <w:pPr>
        <w:pStyle w:val="ListParagraph"/>
        <w:numPr>
          <w:ilvl w:val="0"/>
          <w:numId w:val="1"/>
        </w:numPr>
        <w:spacing w:after="60" w:line="245"/>
      </w:pPr>
      <w:r>
        <w:rPr>
          <w:rFonts w:ascii="Calibri" w:cs="Calibri" w:eastAsia="Calibri" w:hAnsi="Calibri"/>
          <w:sz w:val="17"/>
          <w:szCs w:val="17"/>
        </w:rPr>
        <w:t xml:space="preserve">Resin samples</w:t>
      </w:r>
    </w:p>
    <w:p>
      <w:pPr>
        <w:pStyle w:val="ListParagraph"/>
        <w:numPr>
          <w:ilvl w:val="0"/>
          <w:numId w:val="1"/>
        </w:numPr>
        <w:spacing w:after="60" w:line="245"/>
      </w:pPr>
      <w:r>
        <w:rPr>
          <w:rFonts w:ascii="Calibri" w:cs="Calibri" w:eastAsia="Calibri" w:hAnsi="Calibri"/>
          <w:sz w:val="17"/>
          <w:szCs w:val="17"/>
        </w:rPr>
        <w:t xml:space="preserve">Screens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SWI-PRO-MET-205-013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SWI-PRO-MET-205-013.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 SOP-PROC-CNREC-02 Cyanide elution and CNREC-05 Metal elution, received 11 Aug 2026 - operating elution conditions from a working plant, usable as the test target</w:t>
      </w:r>
    </w:p>
    <w:p>
      <w:pPr>
        <w:pStyle w:val="ListParagraph"/>
        <w:numPr>
          <w:ilvl w:val="0"/>
          <w:numId w:val="1"/>
        </w:numPr>
        <w:spacing w:after="60" w:line="245"/>
      </w:pPr>
      <w:r>
        <w:rPr>
          <w:rFonts w:ascii="Calibri" w:cs="Calibri" w:eastAsia="Calibri" w:hAnsi="Calibri"/>
          <w:sz w:val="17"/>
          <w:szCs w:val="17"/>
        </w:rPr>
        <w:t xml:space="preserve">No Goldquip resin elution performance data held</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JSEA-PRO-MET-205-013  ·  Resin Elution Efficiency and Barren Resin Loading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