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Resin Fouling, Osmotic Shock and Bead Integrity Assessment</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JSEA-PRO-MET-205-014</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SWI-PRO-MET-205-014  Resin Fouling, Osmotic Shock and Bead Integrity Assessment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HM-PRC-VXX-PRO209  Metallurgical Laboratory Chemical and Leach Testwork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205  Met Lab - Chemical and Leach Testwork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JSEA-PRO-MET-205-014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resin fouling, osmotic shock and bead integrity assessment in 205  Met Lab - Chemical and Leach Testwork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Assess resin condition - fouling, osmotic damage and bead breakage.</w:t>
      </w:r>
    </w:p>
    <w:p>
      <w:pPr>
        <w:pStyle w:val="ListParagraph"/>
        <w:numPr>
          <w:ilvl w:val="0"/>
          <w:numId w:val="1"/>
        </w:numPr>
        <w:spacing w:after="60" w:line="245"/>
      </w:pPr>
      <w:r>
        <w:rPr>
          <w:rFonts w:ascii="Calibri" w:cs="Calibri" w:eastAsia="Calibri" w:hAnsi="Calibri"/>
          <w:sz w:val="17"/>
          <w:szCs w:val="17"/>
        </w:rPr>
        <w:t xml:space="preserve">Resin is the most expensive consumable on the circuit and the damage is cumulative and irreversible.</w:t>
      </w:r>
    </w:p>
    <w:p>
      <w:pPr>
        <w:spacing w:after="60" w:before="0" w:line="245"/>
      </w:pPr>
      <w:r>
        <w:rPr>
          <w:rFonts w:ascii="Calibri" w:cs="Calibri" w:eastAsia="Calibri" w:hAnsi="Calibri"/>
          <w:sz w:val="17"/>
          <w:szCs w:val="17"/>
        </w:rPr>
        <w:t xml:space="preserve">It is read with work instruction SWI-PRO-MET-205-014, which gives the step-by-step method, and with HM-PRC-VXX-PRO209 Metallurgical Laboratory Chemical and Leach Testwork,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Take the resin sample from the transfer stream, not from a settled hopper.</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Wash free of slurry over the retention aperture.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Run the bead size distribution per the resin PSD method and record the fraction below the retention aperture.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Count a subsample for whole, cracked and broken beads and report whole bead count as a percentage.</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Inspect for fouling - discolouration, coating and change in bulk density against fresh resin.</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Where fouling is suspected, run the acid and caustic wash sequence at the bench and re-measure capacity against an unwashed split.</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30" w:line="235"/>
            </w:pPr>
            <w:r>
              <w:rPr>
                <w:rFonts w:ascii="Calibri" w:cs="Calibri" w:eastAsia="Calibri" w:hAnsi="Calibri"/>
                <w:sz w:val="15"/>
                <w:szCs w:val="15"/>
              </w:rPr>
              <w:t xml:space="preserve">Inhalation of acid fume or reagent vapour at the bench</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3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Trend all measures against the conditioning and transfer history.</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Report against the acceptance criteria once Goldquip supplies them - until then, report the trend only.</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Monthly, and after any osmotic shock event.</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Take the resin sample from the transfer stream, not from a settled hopper.</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Wash free of slurry over the retention aperture.</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Run the bead size distribution per the resin PSD method and record the fraction below the retention aperture.</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Count a subsample for whole, cracked and broken beads and report whole bead count as a percentage.</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Inspect for fouling - discolouration, coating and change in bulk density against fresh resin.</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Where fouling is suspected, run the acid and caustic wash sequence at the bench and re-measure capacity against an unwashed split.</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Trend all measures against the conditioning and transfer history.</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Report against the acceptance criteria once Goldquip supplies them - until then, report the trend only.</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200 mm sieve set 38 um to 2 mm</w:t>
      </w:r>
    </w:p>
    <w:p>
      <w:pPr>
        <w:pStyle w:val="ListParagraph"/>
        <w:numPr>
          <w:ilvl w:val="0"/>
          <w:numId w:val="1"/>
        </w:numPr>
        <w:spacing w:after="60" w:line="245"/>
      </w:pPr>
      <w:r>
        <w:rPr>
          <w:rFonts w:ascii="Calibri" w:cs="Calibri" w:eastAsia="Calibri" w:hAnsi="Calibri"/>
          <w:sz w:val="17"/>
          <w:szCs w:val="17"/>
        </w:rPr>
        <w:t xml:space="preserve">Ro-Tap RX29</w:t>
      </w:r>
    </w:p>
    <w:p>
      <w:pPr>
        <w:pStyle w:val="ListParagraph"/>
        <w:numPr>
          <w:ilvl w:val="0"/>
          <w:numId w:val="1"/>
        </w:numPr>
        <w:spacing w:after="60" w:line="245"/>
      </w:pPr>
      <w:r>
        <w:rPr>
          <w:rFonts w:ascii="Calibri" w:cs="Calibri" w:eastAsia="Calibri" w:hAnsi="Calibri"/>
          <w:sz w:val="17"/>
          <w:szCs w:val="17"/>
        </w:rPr>
        <w:t xml:space="preserve">Balance</w:t>
      </w:r>
    </w:p>
    <w:p>
      <w:pPr>
        <w:pStyle w:val="ListParagraph"/>
        <w:numPr>
          <w:ilvl w:val="0"/>
          <w:numId w:val="1"/>
        </w:numPr>
        <w:spacing w:after="60" w:line="245"/>
      </w:pPr>
      <w:r>
        <w:rPr>
          <w:rFonts w:ascii="Calibri" w:cs="Calibri" w:eastAsia="Calibri" w:hAnsi="Calibri"/>
          <w:sz w:val="17"/>
          <w:szCs w:val="17"/>
        </w:rPr>
        <w:t xml:space="preserve">Wash bottle</w:t>
      </w:r>
    </w:p>
    <w:p>
      <w:pPr>
        <w:pStyle w:val="ListParagraph"/>
        <w:numPr>
          <w:ilvl w:val="0"/>
          <w:numId w:val="1"/>
        </w:numPr>
        <w:spacing w:after="60" w:line="245"/>
      </w:pPr>
      <w:r>
        <w:rPr>
          <w:rFonts w:ascii="Calibri" w:cs="Calibri" w:eastAsia="Calibri" w:hAnsi="Calibri"/>
          <w:sz w:val="17"/>
          <w:szCs w:val="17"/>
        </w:rPr>
        <w:t xml:space="preserve">Beakers</w:t>
      </w:r>
    </w:p>
    <w:p>
      <w:pPr>
        <w:pStyle w:val="ListParagraph"/>
        <w:numPr>
          <w:ilvl w:val="0"/>
          <w:numId w:val="1"/>
        </w:numPr>
        <w:spacing w:after="60" w:line="245"/>
      </w:pPr>
      <w:r>
        <w:rPr>
          <w:rFonts w:ascii="Calibri" w:cs="Calibri" w:eastAsia="Calibri" w:hAnsi="Calibri"/>
          <w:sz w:val="17"/>
          <w:szCs w:val="17"/>
        </w:rPr>
        <w:t xml:space="preserve">Acid and caustic for the fouling check</w:t>
      </w:r>
    </w:p>
    <w:p>
      <w:pPr>
        <w:pStyle w:val="ListParagraph"/>
        <w:numPr>
          <w:ilvl w:val="0"/>
          <w:numId w:val="1"/>
        </w:numPr>
        <w:spacing w:after="60" w:line="245"/>
      </w:pPr>
      <w:r>
        <w:rPr>
          <w:rFonts w:ascii="Calibri" w:cs="Calibri" w:eastAsia="Calibri" w:hAnsi="Calibri"/>
          <w:sz w:val="17"/>
          <w:szCs w:val="17"/>
        </w:rPr>
        <w:t xml:space="preserve">Fume cupboard</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SWI-PRO-MET-205-014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SWI-PRO-MET-205-014.</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KBK-MIR-MP-PRO-MET-SOP-0058 Distribusi Ukuran Partikel Resin, received 11 Aug 2026</w:t>
      </w:r>
    </w:p>
    <w:p>
      <w:pPr>
        <w:pStyle w:val="ListParagraph"/>
        <w:numPr>
          <w:ilvl w:val="0"/>
          <w:numId w:val="1"/>
        </w:numPr>
        <w:spacing w:after="60" w:line="245"/>
      </w:pPr>
      <w:r>
        <w:rPr>
          <w:rFonts w:ascii="Calibri" w:cs="Calibri" w:eastAsia="Calibri" w:hAnsi="Calibri"/>
          <w:sz w:val="17"/>
          <w:szCs w:val="17"/>
        </w:rPr>
        <w:t xml:space="preserve">ILS quotation Q0023979 - 38 um to 2 mm sieve set and Ro-Tap RX29</w:t>
      </w:r>
    </w:p>
    <w:p>
      <w:pPr>
        <w:pStyle w:val="ListParagraph"/>
        <w:numPr>
          <w:ilvl w:val="0"/>
          <w:numId w:val="1"/>
        </w:numPr>
        <w:spacing w:after="60" w:line="245"/>
      </w:pPr>
      <w:r>
        <w:rPr>
          <w:rFonts w:ascii="Calibri" w:cs="Calibri" w:eastAsia="Calibri" w:hAnsi="Calibri"/>
          <w:sz w:val="17"/>
          <w:szCs w:val="17"/>
        </w:rPr>
        <w:t xml:space="preserve">RA-01 Resin Loss Register Rev A</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JSEA-PRO-MET-205-014</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JSEA-PRO-MET-205-014  ·  Resin Fouling, Osmotic Shock and Bead Integrity Assessment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