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Precipitate and Platelet Content Determination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SWI-PRO-MET-205-016  Precipitate and Platelet Content Determination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JSEA-PRO-MET-205-016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precipitate and platelet content determination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the precipitate and platelet content of the copper product.</w:t>
      </w:r>
    </w:p>
    <w:p>
      <w:pPr>
        <w:pStyle w:val="ListParagraph"/>
        <w:numPr>
          <w:ilvl w:val="0"/>
          <w:numId w:val="1"/>
        </w:numPr>
        <w:spacing w:after="60" w:line="245"/>
      </w:pPr>
      <w:r>
        <w:rPr>
          <w:rFonts w:ascii="Calibri" w:cs="Calibri" w:eastAsia="Calibri" w:hAnsi="Calibri"/>
          <w:sz w:val="17"/>
          <w:szCs w:val="17"/>
        </w:rPr>
        <w:t xml:space="preserve">It is the measure of precipitation performance and of product quality.</w:t>
      </w:r>
    </w:p>
    <w:p>
      <w:pPr>
        <w:spacing w:after="60" w:before="0" w:line="245"/>
      </w:pPr>
      <w:r>
        <w:rPr>
          <w:rFonts w:ascii="Calibri" w:cs="Calibri" w:eastAsia="Calibri" w:hAnsi="Calibri"/>
          <w:sz w:val="17"/>
          <w:szCs w:val="17"/>
        </w:rPr>
        <w:t xml:space="preserve">It is read with work instruction SWI-PRO-MET-205-016,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Take a representative subsample of the precipitate.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Filter, wash and dry to constant mass.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Determine the solids content and the moisture.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Screen or inspect for platelet material and quantify it against the method.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Assay for copper and for the deleterious elements the offtake specifies.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Report against the product specification.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lot and per the analysis schedule.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Take a representative subsample of the precipitate.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Filter, wash and dry to constant mass.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Determine the solids content and the moisture.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Screen or inspect for platelet material and quantify it against the method.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Assay for copper and for the deleterious elements the offtake specifies.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Report against the product specification.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Filter apparatus</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Microscope or magnifier</w:t>
      </w:r>
    </w:p>
    <w:p>
      <w:pPr>
        <w:pStyle w:val="ListParagraph"/>
        <w:numPr>
          <w:ilvl w:val="0"/>
          <w:numId w:val="1"/>
        </w:numPr>
        <w:spacing w:after="60" w:line="245"/>
      </w:pPr>
      <w:r>
        <w:rPr>
          <w:rFonts w:ascii="Calibri" w:cs="Calibri" w:eastAsia="Calibri" w:hAnsi="Calibri"/>
          <w:sz w:val="17"/>
          <w:szCs w:val="17"/>
        </w:rPr>
        <w:t xml:space="preserve">Sieves</w:t>
      </w:r>
    </w:p>
    <w:p>
      <w:pPr>
        <w:pStyle w:val="ListParagraph"/>
        <w:numPr>
          <w:ilvl w:val="0"/>
          <w:numId w:val="1"/>
        </w:numPr>
        <w:spacing w:after="60" w:line="245"/>
      </w:pPr>
      <w:r>
        <w:rPr>
          <w:rFonts w:ascii="Calibri" w:cs="Calibri" w:eastAsia="Calibri" w:hAnsi="Calibri"/>
          <w:sz w:val="17"/>
          <w:szCs w:val="17"/>
        </w:rPr>
        <w:t xml:space="preserve">Beakers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SWI-PRO-MET-205-016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SWI-PRO-MET-205-016.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KBK-MIR-MP-PRO-OPE-SOP-0001 Platelet Content</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JSEA-PRO-MET-205-016  ·  Precipitate and Platelet Content Determination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