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Gold Elution, Electrowinning and Pre-Soak Solution Sampling (061 / 062 Gold recovery)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HM-MMM-WHS-FRM-031-R03-JSEA-PRO-MET-201-013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with the control room where the batch is in the elution sequence before approaching.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Mercury vapour in the gold room, elution and retort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 before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Mercury vapour monitoring where the site procedure requires 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eating, drinking or smoking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Hands washed before leaving the area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Do NOT sample a column that is under pressure or on a heating cycle. Confirm the circuit is at the sampling condition stated in the elution procedure.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Flush the sample line and let the first flow discharge to drain until the temperature at the point is steady.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Collect into a heat-resistant bottle held below the point, not in line with the discharge.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Allow the sample to cool before taking pH or titrating - a hot cyanide solution releases HCN faster and gives a false reading.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Bottle and label for gold, silver and copper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Mercury vapour in the gold room, elution and retort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 before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Mercury vapour monitoring where the site procedure requires 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eating, drinking or smoking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Hands washed before leaving the area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batch number, elution stage, solution temperature and flow at the time of sampling.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Mercury vapour in the gold room, elution and retort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 before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Mercury vapour monitoring where the site procedure requires 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eating, drinking or smoking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Hands washed before leaving the area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JSEA-PRO-MET-201-013 Gold Elution, Electrowinning and Pre-Soak Solution Sampling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