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Bullion Sample Preparation by Rolling - Bullion Roller</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JSEA-PRO-LAB-306-001</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SWI-PRO-LAB-306-001  Bullion Sample Preparation by Rolling - Bullion Roller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HM-PRC-VXX-PRO217  Bullion Assay and Custody</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306  Bullion Assay</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JSEA-PRO-LAB-306-001 in HM-MMM-WHS-REG-JSEA-PRO-updated_10, tab JSEA_LAB</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bullion sample preparation by rolling - bullion roller in 306  Bullion Assay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Prepare a bullion sample by rolling.</w:t>
      </w:r>
    </w:p>
    <w:p>
      <w:pPr>
        <w:pStyle w:val="ListParagraph"/>
        <w:numPr>
          <w:ilvl w:val="0"/>
          <w:numId w:val="1"/>
        </w:numPr>
        <w:spacing w:after="60" w:line="245"/>
      </w:pPr>
      <w:r>
        <w:rPr>
          <w:rFonts w:ascii="Calibri" w:cs="Calibri" w:eastAsia="Calibri" w:hAnsi="Calibri"/>
          <w:sz w:val="17"/>
          <w:szCs w:val="17"/>
        </w:rPr>
        <w:t xml:space="preserve">Doré is not homogeneous. Rolling and sampling correctly is what makes the assay represent the bar rather than the spot it was cut from.</w:t>
      </w:r>
    </w:p>
    <w:p>
      <w:pPr>
        <w:spacing w:after="60" w:before="0" w:line="245"/>
      </w:pPr>
      <w:r>
        <w:rPr>
          <w:rFonts w:ascii="Calibri" w:cs="Calibri" w:eastAsia="Calibri" w:hAnsi="Calibri"/>
          <w:sz w:val="17"/>
          <w:szCs w:val="17"/>
        </w:rPr>
        <w:t xml:space="preserve">It is read with work instruction SWI-PRO-LAB-306-001, which gives the step-by-step method, and with HM-PRC-VXX-PRO217 Bullion Assay and Custody,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Work in the controlled area under the two-person rule.</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Exposure to a gold security incident, and to suspicion in one</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Two-person rule in the gold room, lock-up and bullion areas. Access controlled and logged. Nothing carried in or out except through the controlled route. Every movement recorded and countersigned. Never work alone with unsecured product.</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Record the bar identity and mass before any sample is taken, countersigned.</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Take the sample from the position on the bar the method specifies - a drilling or a cut from one spot is not representative of a poured bar.</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Roll the sample to the thickness the method requires so it can be cut into equal portions.</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Keep every off-cut and every filing. All of it is accounted for and returned - nothing is swept away.</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Exposure to a gold security incident, and to suspicion in one</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Two-person rule in the gold room, lock-up and bullion areas. Access controlled and logged. Nothing carried in or out except through the controlled route. Every movement recorded and countersigned. Never work alone with unsecured product.</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Clean the roller between bars. Carry-over between bullion samples is both a quality and a security issue.</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Contact with an agitator, sample cutter, pump or screen that starts without warning</w:t>
            </w:r>
          </w:p>
          <w:p>
            <w:pPr>
              <w:spacing w:after="30" w:line="235"/>
            </w:pPr>
            <w:r>
              <w:rPr>
                <w:rFonts w:ascii="Calibri" w:cs="Calibri" w:eastAsia="Calibri" w:hAnsi="Calibri"/>
                <w:sz w:val="15"/>
                <w:szCs w:val="15"/>
              </w:rPr>
              <w:t xml:space="preserve">Manual handling injury from carrying sample buckets, containers and composite drums</w:t>
            </w:r>
          </w:p>
          <w:p>
            <w:pPr>
              <w:spacing w:after="0" w:line="235"/>
            </w:pPr>
            <w:r>
              <w:rPr>
                <w:rFonts w:ascii="Calibri" w:cs="Calibri" w:eastAsia="Calibri" w:hAnsi="Calibri"/>
                <w:sz w:val="15"/>
                <w:szCs w:val="15"/>
              </w:rPr>
              <w:t xml:space="preserve">Cross-contamination from a container or cutter not cleaned between points</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Much of the plant is automated and equipment can start or stop without warning. Guards confirmed in place before approaching. Control room notified before the round starts and again on completion. Isolation and lock-out before any guard or cutter housing is opened.</w:t>
            </w:r>
          </w:p>
          <w:p>
            <w:pPr>
              <w:spacing w:after="30" w:line="235"/>
            </w:pPr>
            <w:r>
              <w:rPr>
                <w:rFonts w:ascii="Calibri" w:cs="Calibri" w:eastAsia="Calibri" w:hAnsi="Calibri"/>
                <w:sz w:val="15"/>
                <w:szCs w:val="15"/>
              </w:rPr>
              <w:t xml:space="preserve">Sample volume kept to the schedule - no over-filling. Two-person lift or a trolley for composite containers above the site manual handling limit. Route cleared before lifting.</w:t>
            </w:r>
          </w:p>
          <w:p>
            <w:pPr>
              <w:spacing w:after="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7.  Reconcile mass in against mass out before the sample leaves the area, and record it.</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Acid-resistant gloves, apron and face shield</w:t>
      </w:r>
    </w:p>
    <w:p>
      <w:pPr>
        <w:pStyle w:val="ListParagraph"/>
        <w:numPr>
          <w:ilvl w:val="0"/>
          <w:numId w:val="1"/>
        </w:numPr>
        <w:spacing w:after="60" w:line="245"/>
      </w:pPr>
      <w:r>
        <w:rPr>
          <w:rFonts w:ascii="Calibri" w:cs="Calibri" w:eastAsia="Calibri" w:hAnsi="Calibri"/>
          <w:sz w:val="17"/>
          <w:szCs w:val="17"/>
        </w:rPr>
        <w:t xml:space="preserve">Chemical splash goggles</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Frequency: Every bullion sample.</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Work in the controlled area under the two-person rule.</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Record the bar identity and mass before any sample is taken, countersigned.</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Take the sample from the position on the bar the method specifies - a drilling or a cut from one spot is not representative of a poured bar.</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Roll the sample to the thickness the method requires so it can be cut into equal portions.</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Keep every off-cut and every filing. All of it is accounted for and returned - nothing is swept away.</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Clean the roller between bars. Carry-over between bullion samples is both a quality and a security issue.</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Reconcile mass in against mass out before the sample leaves the area, and record it.</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Bullion roller</w:t>
      </w:r>
    </w:p>
    <w:p>
      <w:pPr>
        <w:pStyle w:val="ListParagraph"/>
        <w:numPr>
          <w:ilvl w:val="0"/>
          <w:numId w:val="1"/>
        </w:numPr>
        <w:spacing w:after="60" w:line="245"/>
      </w:pPr>
      <w:r>
        <w:rPr>
          <w:rFonts w:ascii="Calibri" w:cs="Calibri" w:eastAsia="Calibri" w:hAnsi="Calibri"/>
          <w:sz w:val="17"/>
          <w:szCs w:val="17"/>
        </w:rPr>
        <w:t xml:space="preserve">Bullion blocks 10-place</w:t>
      </w:r>
    </w:p>
    <w:p>
      <w:pPr>
        <w:pStyle w:val="ListParagraph"/>
        <w:numPr>
          <w:ilvl w:val="0"/>
          <w:numId w:val="1"/>
        </w:numPr>
        <w:spacing w:after="60" w:line="245"/>
      </w:pPr>
      <w:r>
        <w:rPr>
          <w:rFonts w:ascii="Calibri" w:cs="Calibri" w:eastAsia="Calibri" w:hAnsi="Calibri"/>
          <w:sz w:val="17"/>
          <w:szCs w:val="17"/>
        </w:rPr>
        <w:t xml:space="preserve">Tongs</w:t>
      </w:r>
    </w:p>
    <w:p>
      <w:pPr>
        <w:pStyle w:val="ListParagraph"/>
        <w:numPr>
          <w:ilvl w:val="0"/>
          <w:numId w:val="1"/>
        </w:numPr>
        <w:spacing w:after="60" w:line="245"/>
      </w:pPr>
      <w:r>
        <w:rPr>
          <w:rFonts w:ascii="Calibri" w:cs="Calibri" w:eastAsia="Calibri" w:hAnsi="Calibri"/>
          <w:sz w:val="17"/>
          <w:szCs w:val="17"/>
        </w:rPr>
        <w:t xml:space="preserve">Dedicated bullion tools</w:t>
      </w:r>
    </w:p>
    <w:p>
      <w:pPr>
        <w:pStyle w:val="ListParagraph"/>
        <w:numPr>
          <w:ilvl w:val="0"/>
          <w:numId w:val="1"/>
        </w:numPr>
        <w:spacing w:after="60" w:line="245"/>
      </w:pPr>
      <w:r>
        <w:rPr>
          <w:rFonts w:ascii="Calibri" w:cs="Calibri" w:eastAsia="Calibri" w:hAnsi="Calibri"/>
          <w:sz w:val="17"/>
          <w:szCs w:val="17"/>
        </w:rPr>
        <w:t xml:space="preserve">Controlled area access</w:t>
      </w:r>
    </w:p>
    <w:p>
      <w:pPr>
        <w:pStyle w:val="ListParagraph"/>
        <w:numPr>
          <w:ilvl w:val="0"/>
          <w:numId w:val="1"/>
        </w:numPr>
        <w:spacing w:after="60" w:line="245"/>
      </w:pPr>
      <w:r>
        <w:rPr>
          <w:rFonts w:ascii="Calibri" w:cs="Calibri" w:eastAsia="Calibri" w:hAnsi="Calibri"/>
          <w:sz w:val="17"/>
          <w:szCs w:val="17"/>
        </w:rPr>
        <w:t xml:space="preserve">Balance</w:t>
      </w:r>
    </w:p>
    <w:p>
      <w:pPr>
        <w:pStyle w:val="ListParagraph"/>
        <w:numPr>
          <w:ilvl w:val="0"/>
          <w:numId w:val="1"/>
        </w:numPr>
        <w:spacing w:after="60" w:line="245"/>
      </w:pPr>
      <w:r>
        <w:rPr>
          <w:rFonts w:ascii="Calibri" w:cs="Calibri" w:eastAsia="Calibri" w:hAnsi="Calibri"/>
          <w:sz w:val="17"/>
          <w:szCs w:val="17"/>
        </w:rPr>
        <w:t xml:space="preserve">Custody register</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SWI-PRO-LAB-306-001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SWI-PRO-LAB-306-001.</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KBK-MIR-LAB-WET-SOP-057 Rolling Sampel Bullion; ILS quote Q0023979: bullion roller</w:t>
      </w:r>
    </w:p>
    <w:p>
      <w:pPr>
        <w:pStyle w:val="ListParagraph"/>
        <w:numPr>
          <w:ilvl w:val="0"/>
          <w:numId w:val="1"/>
        </w:numPr>
        <w:spacing w:after="60" w:line="245"/>
      </w:pPr>
      <w:r>
        <w:rPr>
          <w:rFonts w:ascii="Calibri" w:cs="Calibri" w:eastAsia="Calibri" w:hAnsi="Calibri"/>
          <w:sz w:val="17"/>
          <w:szCs w:val="17"/>
        </w:rPr>
        <w:t xml:space="preserve">Heritage register line JSEA-PRO-LAB-306-001, tab JSEA_LAB / SWI-LAB</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JSEA-PRO-LAB-306-001</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JSEA-PRO-LAB-306-001  ·  Bullion Sample Preparation by Rolling - Bullion Roller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