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Bullion Sample Custody, Safe Storage and Reconciliation - Safe NV1</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SWI-PRO-LAB-306-005  Bullion Sample Custody, Safe Storage and Reconciliation - Safe NV1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bullion sample custody, safe storage and reconciliation - safe nv1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Hold bullion samples in custody, store them and reconcile them.</w:t>
      </w:r>
    </w:p>
    <w:p>
      <w:pPr>
        <w:spacing w:after="60" w:before="0" w:line="245"/>
      </w:pPr>
      <w:r>
        <w:rPr>
          <w:rFonts w:ascii="Calibri" w:cs="Calibri" w:eastAsia="Calibri" w:hAnsi="Calibri"/>
          <w:sz w:val="17"/>
          <w:szCs w:val="17"/>
        </w:rPr>
        <w:t xml:space="preserve">It is read with work instruction SWI-PRO-LAB-306-005, which gives the step-by-step method, and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every bullion sample into the custody register on receipt, with mass, countersigned by two people.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Store in the safe between operations. A bullion sample is never left out on a bench.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Control and log access to the safe. Two people for every opening.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every movement in and out with mass and signatures.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Reconcile the register against physical contents at the set interval, by two people.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Account for every off-cut, filing and cupel from the batch - not just the prill.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discrepancy immediately, however small.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Retain samples for the period the settlement terms require before disposal, and dispose only with authorisation.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sample, continuously.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every bullion sample into the custody register on receipt, with mass, countersigned by two people.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Store in the safe between operations. A bullion sample is never left out on a bench.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Control and log access to the safe. Two people for every opening.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every movement in and out with mass and signatures.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Reconcile the register against physical contents at the set interval, by two people.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Account for every off-cut, filing and cupel from the batch - not just the prill.</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discrepancy immediately, however small.</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Retain samples for the period the settlement terms require before disposal, and dispose only with authorisation.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Safe NV1 single shelf</w:t>
      </w:r>
    </w:p>
    <w:p>
      <w:pPr>
        <w:pStyle w:val="ListParagraph"/>
        <w:numPr>
          <w:ilvl w:val="0"/>
          <w:numId w:val="1"/>
        </w:numPr>
        <w:spacing w:after="60" w:line="245"/>
      </w:pPr>
      <w:r>
        <w:rPr>
          <w:rFonts w:ascii="Calibri" w:cs="Calibri" w:eastAsia="Calibri" w:hAnsi="Calibri"/>
          <w:sz w:val="17"/>
          <w:szCs w:val="17"/>
        </w:rPr>
        <w:t xml:space="preserve">Custody register</w:t>
      </w:r>
    </w:p>
    <w:p>
      <w:pPr>
        <w:pStyle w:val="ListParagraph"/>
        <w:numPr>
          <w:ilvl w:val="0"/>
          <w:numId w:val="1"/>
        </w:numPr>
        <w:spacing w:after="60" w:line="245"/>
      </w:pPr>
      <w:r>
        <w:rPr>
          <w:rFonts w:ascii="Calibri" w:cs="Calibri" w:eastAsia="Calibri" w:hAnsi="Calibri"/>
          <w:sz w:val="17"/>
          <w:szCs w:val="17"/>
        </w:rPr>
        <w:t xml:space="preserve">Controlled area access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Two-person rule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SWI-PRO-LAB-306-005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SWI-PRO-LAB-306-005.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Safe NV1 single shelf. No custody or reconciliation procedure held  |  [11 Aug 2026] KBK MET SOP-0044 Pengiriman Bullion covers bullion custody, packing, documentation and handover. The safe storage and reconciliation half still has to be added.</w:t>
      </w:r>
    </w:p>
    <w:p>
      <w:pPr>
        <w:pStyle w:val="ListParagraph"/>
        <w:numPr>
          <w:ilvl w:val="0"/>
          <w:numId w:val="1"/>
        </w:numPr>
        <w:spacing w:after="60" w:line="245"/>
      </w:pPr>
      <w:r>
        <w:rPr>
          <w:rFonts w:ascii="Calibri" w:cs="Calibri" w:eastAsia="Calibri" w:hAnsi="Calibri"/>
          <w:sz w:val="17"/>
          <w:szCs w:val="17"/>
        </w:rPr>
        <w:t xml:space="preserve">Heritage register line JSEA-PRO-LAB-306-005,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JSEA-PRO-LAB-306-005  ·  Bullion Sample Custody, Safe Storage and Reconciliation - Safe NV1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