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Waste Segregation, Storage and Disposal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Segregate at the bench. Cyanide-bearing, acidic, solvent and general waste each get their own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put acidic waste into a cyanide-bearing container. That generates HCN inside a closed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Neutralise acidic waste and confirm with pH paper before it goes to any shared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Label every container with contents, hazard and accumulation start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containers closed except when adding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Log waste as it is generated, not from memory later.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Confirm the destination for cyanide-bearing effluent before generating any. This is still not confirmed for this site.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removal at the set interval and file the disposal documentation.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JSEA-PRO-LAB-305-009 Laboratory Waste Segregation, Storage and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