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Laboratory Compressed Air System and Pressure Vessel Statutory Inspection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HM-MMM-WHS-FRM-031-R03-JSEA-PRO-LAB-305-014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receiver is registered and its statutory inspection is current BEFORE it is put into service. An uninspected registered vessel must not be pressurised.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Drain the receiver and dryer trap daily, standing clear of the discharge.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Record the drain. Undrained condensate corrodes the vessel from the inside where it cannot be seen.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Check the oil level and the intake filter at the set interval.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Confirm the pressure relief valve has been tested within its interval and is not painted over or obstructed.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Never isolate, block or adjust a relief valve.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Depressurise and isolate before any work on the receiver or its fittings.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Keep the inspection certificate with the asset register and diarise the next inspection.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JSEA-PRO-LAB-305-014 Laboratory Compressed Air System and Pressure Vessel Statutory Inspection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