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Investigation and Correction of Mass Balance Discrepancy (202  Metallurgical Accounting)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HM-MMM-WHS-FRM-031-R03-JSEA-PRO-MET-202-012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Confirm the discrepancy is real - re-run the balance before investigating anything.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Work outwards from the largest term. A one per cent error on feed tonnes is bigger than a fifty per cent error on a minor stream.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An accounting or reconciliation error that hides a real metal loss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input traceable to a signed source - weighbridge ticket, laboratory certificate, survey sheet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Inputs entered once and cross-checked by a second person before the balance is closed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Any variance outside the agreed tolerance investigated and recorded before the period is signed off, never adjusted to force a balance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Test each input against its source in turn - weightometer against a survey, assay against a duplicate, inventory against a physical count.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An accounting or reconciliation error that hides a real metal loss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input traceable to a signed source - weighbridge ticket, laboratory certificate, survey sheet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Inputs entered once and cross-checked by a second person before the balance is closed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Any variance outside the agreed tolerance investigated and recorded before the period is signed off, never adjusted to force a balance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Check the instruments involved against their last calibration, and the laboratory against its QA/QC data for the period.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Look for a real loss before concluding it is a measurement error - carbon or resin carry-over, a solution loss, an unrecorded movement.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Record the investigation and the conclusion, including what was ruled out.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Correct the cause. Only restate a number where the source document supports the restatement.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An accounting or reconciliation error that hides a real metal loss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input traceable to a signed source - weighbridge ticket, laboratory certificate, survey sheet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Inputs entered once and cross-checked by a second person before the balance is closed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Any variance outside the agreed tolerance investigated and recorded before the period is signed off, never adjusted to force a balance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Report the discrepancy, the cause and the correction with the period close.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JSEA-PRO-MET-202-012 Investigation and Correction of Mass Balance Discrepancy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