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Umpire and Referee Assay Management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umpire and referee assay management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Manage umpire and referee assays.</w:t>
      </w:r>
    </w:p>
    <w:p>
      <w:pPr>
        <w:spacing w:after="60" w:before="0" w:line="245"/>
      </w:pPr>
      <w:r>
        <w:rPr>
          <w:rFonts w:ascii="Calibri" w:cs="Calibri" w:eastAsia="Calibri" w:hAnsi="Calibri"/>
          <w:sz w:val="17"/>
          <w:szCs w:val="17"/>
        </w:rPr>
        <w:t xml:space="preserve">It is read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Retain a paired split of every sample that could go to umpire, and store it where it can be found.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Select umpire samples per the agreement - the frequency, the selection basis and the laboratories are commercial terms, not laboratory choices.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Dispatch under seal with a full chain of custody.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Compare the umpire result against the site result on the same basis - same moisture basis, same units, same method.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Where the difference exceeds the agreed splitting limit, trigger the referee process the agreement sets out.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Track the site-to-umpire difference over time. A consistent bias is a laboratory problem, not chance.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every umpire result and every referee outcome, and feed them to the metal accounting.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umpire submission and every settlement dispute.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Retain a paired split of every sample that could go to umpire, and store it where it can be found.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Select umpire samples per the agreement - the frequency, the selection basis and the laboratories are commercial terms, not laboratory choices.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Dispatch under seal with a full chain of custody.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Compare the umpire result against the site result on the same basis - same moisture basis, same units, same method.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Where the difference exceeds the agreed splitting limit, trigger the referee process the agreement sets out.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Track the site-to-umpire difference over time. A consistent bias is a laboratory problem, not chance.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every umpire result and every referee outcome, and feed them to the metal accounting.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Umpire dispatch register</w:t>
      </w:r>
    </w:p>
    <w:p>
      <w:pPr>
        <w:pStyle w:val="ListParagraph"/>
        <w:numPr>
          <w:ilvl w:val="0"/>
          <w:numId w:val="1"/>
        </w:numPr>
        <w:spacing w:after="60" w:line="245"/>
      </w:pPr>
      <w:r>
        <w:rPr>
          <w:rFonts w:ascii="Calibri" w:cs="Calibri" w:eastAsia="Calibri" w:hAnsi="Calibri"/>
          <w:sz w:val="17"/>
          <w:szCs w:val="17"/>
        </w:rPr>
        <w:t xml:space="preserve">Chain of custody forms</w:t>
      </w:r>
    </w:p>
    <w:p>
      <w:pPr>
        <w:pStyle w:val="ListParagraph"/>
        <w:numPr>
          <w:ilvl w:val="0"/>
          <w:numId w:val="1"/>
        </w:numPr>
        <w:spacing w:after="60" w:line="245"/>
      </w:pPr>
      <w:r>
        <w:rPr>
          <w:rFonts w:ascii="Calibri" w:cs="Calibri" w:eastAsia="Calibri" w:hAnsi="Calibri"/>
          <w:sz w:val="17"/>
          <w:szCs w:val="17"/>
        </w:rPr>
        <w:t xml:space="preserve">Split retention storage</w:t>
      </w:r>
    </w:p>
    <w:p>
      <w:pPr>
        <w:pStyle w:val="ListParagraph"/>
        <w:numPr>
          <w:ilvl w:val="0"/>
          <w:numId w:val="1"/>
        </w:numPr>
        <w:spacing w:after="60" w:line="245"/>
      </w:pPr>
      <w:r>
        <w:rPr>
          <w:rFonts w:ascii="Calibri" w:cs="Calibri" w:eastAsia="Calibri" w:hAnsi="Calibri"/>
          <w:sz w:val="17"/>
          <w:szCs w:val="17"/>
        </w:rPr>
        <w:t xml:space="preserve">Agreement terms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KBK-MIR-LAB-PRE-SOP-009 covers dispatch only, not umpire assay management</w:t>
      </w:r>
    </w:p>
    <w:p>
      <w:pPr>
        <w:pStyle w:val="ListParagraph"/>
        <w:numPr>
          <w:ilvl w:val="0"/>
          <w:numId w:val="1"/>
        </w:numPr>
        <w:spacing w:after="60" w:line="245"/>
      </w:pPr>
      <w:r>
        <w:rPr>
          <w:rFonts w:ascii="Calibri" w:cs="Calibri" w:eastAsia="Calibri" w:hAnsi="Calibri"/>
          <w:sz w:val="17"/>
          <w:szCs w:val="17"/>
        </w:rPr>
        <w:t xml:space="preserve">Heritage register line JSEA-PRO-LAB-305-003,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JSEA-PRO-LAB-305-003  ·  Umpire and Referee Assay Management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