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Laboratory Chemical Store Management and SDS Control</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SWI-PRO-LAB-305-004  Laboratory Chemical Store Management and SDS Control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laboratory chemical store management and sds control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Manage the laboratory chemical store and the safety data sheet register.</w:t>
      </w:r>
    </w:p>
    <w:p>
      <w:pPr>
        <w:spacing w:after="60" w:before="0" w:line="245"/>
      </w:pPr>
      <w:r>
        <w:rPr>
          <w:rFonts w:ascii="Calibri" w:cs="Calibri" w:eastAsia="Calibri" w:hAnsi="Calibri"/>
          <w:sz w:val="17"/>
          <w:szCs w:val="17"/>
        </w:rPr>
        <w:t xml:space="preserve">It is read with work instruction SWI-PRO-LAB-305-004,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Keep a current safety data sheet for every chemical held, accessible to everyone in the laboratory without needing a password or a supervisor.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Register every chemical received with quantity, batch, date received and expiry.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Store by compatibility, not by alphabet. Acids away from cyanide, oxidisers away from flammables, nothing on the floor.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Review the register at the set interval and remove anything expired or no longer used. An unused chemical is a hazard with no benefit.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Keep quantities to what is actually used. A drum bought for one job is a ten-year hazard.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Check labels are legible and intact at every review.</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review.</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Continuous; register reviewed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Keep a current safety data sheet for every chemical held, accessible to everyone in the laboratory without needing a password or a supervisor.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Register every chemical received with quantity, batch, date received and expiry.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Store by compatibility, not by alphabet. Acids away from cyanide, oxidisers away from flammables, nothing on the floor.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Review the register at the set interval and remove anything expired or no longer used. An unused chemical is a hazard with no benefit.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quantities to what is actually used. A drum bought for one job is a ten-year hazard.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Check labels are legible and intact at every review.</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review.</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Chemical register</w:t>
      </w:r>
    </w:p>
    <w:p>
      <w:pPr>
        <w:pStyle w:val="ListParagraph"/>
        <w:numPr>
          <w:ilvl w:val="0"/>
          <w:numId w:val="1"/>
        </w:numPr>
        <w:spacing w:after="60" w:line="245"/>
      </w:pPr>
      <w:r>
        <w:rPr>
          <w:rFonts w:ascii="Calibri" w:cs="Calibri" w:eastAsia="Calibri" w:hAnsi="Calibri"/>
          <w:sz w:val="17"/>
          <w:szCs w:val="17"/>
        </w:rPr>
        <w:t xml:space="preserve">Safety data sheets</w:t>
      </w:r>
    </w:p>
    <w:p>
      <w:pPr>
        <w:pStyle w:val="ListParagraph"/>
        <w:numPr>
          <w:ilvl w:val="0"/>
          <w:numId w:val="1"/>
        </w:numPr>
        <w:spacing w:after="60" w:line="245"/>
      </w:pPr>
      <w:r>
        <w:rPr>
          <w:rFonts w:ascii="Calibri" w:cs="Calibri" w:eastAsia="Calibri" w:hAnsi="Calibri"/>
          <w:sz w:val="17"/>
          <w:szCs w:val="17"/>
        </w:rPr>
        <w:t xml:space="preserve">Dangerous goods cabinets</w:t>
      </w:r>
    </w:p>
    <w:p>
      <w:pPr>
        <w:pStyle w:val="ListParagraph"/>
        <w:numPr>
          <w:ilvl w:val="0"/>
          <w:numId w:val="1"/>
        </w:numPr>
        <w:spacing w:after="60" w:line="245"/>
      </w:pPr>
      <w:r>
        <w:rPr>
          <w:rFonts w:ascii="Calibri" w:cs="Calibri" w:eastAsia="Calibri" w:hAnsi="Calibri"/>
          <w:sz w:val="17"/>
          <w:szCs w:val="17"/>
        </w:rPr>
        <w:t xml:space="preserve">Labels</w:t>
      </w:r>
    </w:p>
    <w:p>
      <w:pPr>
        <w:pStyle w:val="ListParagraph"/>
        <w:numPr>
          <w:ilvl w:val="0"/>
          <w:numId w:val="1"/>
        </w:numPr>
        <w:spacing w:after="60" w:line="245"/>
      </w:pPr>
      <w:r>
        <w:rPr>
          <w:rFonts w:ascii="Calibri" w:cs="Calibri" w:eastAsia="Calibri" w:hAnsi="Calibri"/>
          <w:sz w:val="17"/>
          <w:szCs w:val="17"/>
        </w:rPr>
        <w:t xml:space="preserve">Segregation chart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KBK-MIR-LAB-WET-SOP-025 Pengambilan bahan kimia</w:t>
      </w:r>
    </w:p>
    <w:p>
      <w:pPr>
        <w:pStyle w:val="ListParagraph"/>
        <w:numPr>
          <w:ilvl w:val="0"/>
          <w:numId w:val="1"/>
        </w:numPr>
        <w:spacing w:after="60" w:line="245"/>
      </w:pPr>
      <w:r>
        <w:rPr>
          <w:rFonts w:ascii="Calibri" w:cs="Calibri" w:eastAsia="Calibri" w:hAnsi="Calibri"/>
          <w:sz w:val="17"/>
          <w:szCs w:val="17"/>
        </w:rPr>
        <w:t xml:space="preserve">Heritage register line JSEA-PRO-LAB-305-004,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JSEA-PRO-LAB-305-004  ·  Laboratory Chemical Store Management and SDS Control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