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Handling and Storage in the Laboratory</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SWI-PRO-LAB-305-005  Cyanide Handling and Storage in the Laboratory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HM-PRC-VXX-PRO216  Laboratory Services,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305  Laboratory Services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JSEA-PRO-LAB-305-005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handling and storage in the laboratory in 305  Laboratory Services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Handle and store cyanide in the laboratory.</w:t>
      </w:r>
    </w:p>
    <w:p>
      <w:pPr>
        <w:spacing w:after="60" w:before="0" w:line="245"/>
      </w:pPr>
      <w:r>
        <w:rPr>
          <w:rFonts w:ascii="Calibri" w:cs="Calibri" w:eastAsia="Calibri" w:hAnsi="Calibri"/>
          <w:sz w:val="17"/>
          <w:szCs w:val="17"/>
        </w:rPr>
        <w:t xml:space="preserve">It is read with work instruction SWI-PRO-LAB-305-005, which gives the step-by-step method, and with HM-PRC-VXX-PRO216 Laboratory Services,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Store solid and solution cyanide in the locked toxic and poisons cabinet, separately from all acids.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Keep the cyanide register - what is held, what is issued and to whom. Cyanide is reconciled, not just stored.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Never take acid into the cyanide storage area or the cyanide working area.</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Handle cyanide only in the fume cupboard with the airflow confirmed and the scrubber running.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Keep every cyanide solution above pH 10.5. Confirm it before work and after any addition.</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sulphuric or hydrochloric acid - burn to skin or eyes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Confirm the cyanide antidote kit is present and in date before any cyanide work.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Never work with cyanide alone.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Neutralise cyanide waste to the designated route. Never to general drain.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cyanide handling task.</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Store solid and solution cyanide in the locked toxic and poisons cabinet, separately from all acids.</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Keep the cyanide register - what is held, what is issued and to whom. Cyanide is reconciled, not just stored.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Never take acid into the cyanide storage area or the cyanide working area.</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Handle cyanide only in the fume cupboard with the airflow confirmed and the scrubber running.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Keep every cyanide solution above pH 10.5. Confirm it before work and after any addition.</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Confirm the cyanide antidote kit is present and in date before any cyanide work.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Never work with cyanide alone.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Neutralise cyanide waste to the designated route. Never to general drain.</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60 L toxic and poisons cabinet</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ListParagraph"/>
        <w:numPr>
          <w:ilvl w:val="0"/>
          <w:numId w:val="1"/>
        </w:numPr>
        <w:spacing w:after="60" w:line="245"/>
      </w:pPr>
      <w:r>
        <w:rPr>
          <w:rFonts w:ascii="Calibri" w:cs="Calibri" w:eastAsia="Calibri" w:hAnsi="Calibri"/>
          <w:sz w:val="17"/>
          <w:szCs w:val="17"/>
        </w:rPr>
        <w:t xml:space="preserve">Cyanide antidote kit</w:t>
      </w:r>
    </w:p>
    <w:p>
      <w:pPr>
        <w:pStyle w:val="ListParagraph"/>
        <w:numPr>
          <w:ilvl w:val="0"/>
          <w:numId w:val="1"/>
        </w:numPr>
        <w:spacing w:after="60" w:line="245"/>
      </w:pPr>
      <w:r>
        <w:rPr>
          <w:rFonts w:ascii="Calibri" w:cs="Calibri" w:eastAsia="Calibri" w:hAnsi="Calibri"/>
          <w:sz w:val="17"/>
          <w:szCs w:val="17"/>
        </w:rPr>
        <w:t xml:space="preserve">Cyanide register</w:t>
      </w:r>
    </w:p>
    <w:p>
      <w:pPr>
        <w:pStyle w:val="ListParagraph"/>
        <w:numPr>
          <w:ilvl w:val="0"/>
          <w:numId w:val="1"/>
        </w:numPr>
        <w:spacing w:after="60" w:line="245"/>
      </w:pPr>
      <w:r>
        <w:rPr>
          <w:rFonts w:ascii="Calibri" w:cs="Calibri" w:eastAsia="Calibri" w:hAnsi="Calibri"/>
          <w:sz w:val="17"/>
          <w:szCs w:val="17"/>
        </w:rPr>
        <w:t xml:space="preserve">Caustic for neutralisation</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SWI-PRO-LAB-305-005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SWI-PRO-LAB-305-005.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KBK-MIR-LAB-WET-SOP-025; ILS quote Q0023979: 60 L toxic and poisons cabinet</w:t>
      </w:r>
    </w:p>
    <w:p>
      <w:pPr>
        <w:pStyle w:val="ListParagraph"/>
        <w:numPr>
          <w:ilvl w:val="0"/>
          <w:numId w:val="1"/>
        </w:numPr>
        <w:spacing w:after="60" w:line="245"/>
      </w:pPr>
      <w:r>
        <w:rPr>
          <w:rFonts w:ascii="Calibri" w:cs="Calibri" w:eastAsia="Calibri" w:hAnsi="Calibri"/>
          <w:sz w:val="17"/>
          <w:szCs w:val="17"/>
        </w:rPr>
        <w:t xml:space="preserve">Heritage register line JSEA-PRO-LAB-305-005,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JSEA-PRO-LAB-305-005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JSEA-PRO-LAB-305-005  ·  Cyanide Handling and Storage in the Laboratory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