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JOB SAFETY AND ENVIRONMENTAL ANALYSIS</w:t>
      </w:r>
    </w:p>
    <w:p>
      <w:pPr>
        <w:pBdr>
          <w:bottom w:val="single" w:sz="8" w:space="4" w:color="1F3864"/>
        </w:pBdr>
        <w:spacing w:after="80" w:before="0" w:line="300"/>
      </w:pPr>
      <w:r>
        <w:rPr>
          <w:rFonts w:ascii="Calibri" w:cs="Calibri" w:eastAsia="Calibri" w:hAnsi="Calibri"/>
          <w:b/>
          <w:bCs/>
          <w:color w:val="1F3864"/>
          <w:sz w:val="32"/>
          <w:szCs w:val="32"/>
        </w:rPr>
        <w:t xml:space="preserve">Emergency Shower and Eyewash Inspection and Test</w:t>
      </w:r>
    </w:p>
    <w:p>
      <w:pPr>
        <w:spacing w:after="140" w:before="0" w:line="245"/>
      </w:pPr>
      <w:r>
        <w:rPr>
          <w:rFonts w:ascii="Calibri" w:cs="Calibri" w:eastAsia="Calibri" w:hAnsi="Calibri"/>
          <w:color w:val="555555"/>
          <w:sz w:val="17"/>
          <w:szCs w:val="17"/>
        </w:rPr>
        <w:t xml:space="preserve">Job Safety and Environmental Analysis  ·  Heritage Minerals  ·  Mt. Morgan Processing Plant</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JSEA-PRO-LAB-305-007</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Work instruction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SWI-PRO-LAB-305-007  Emergency Shower and Eyewash Inspection and Test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Parent procedure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HM-PRC-VXX-PRO216  Laboratory Services, Safety and Quality</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Area</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305  Laboratory Services</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Classification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Operating</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Register line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JSEA-PRO-LAB-305-007 in HM-MMM-WHS-REG-JSEA-PRO-updated_10, tab JSEA_LAB</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Process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Heritage Mineral Operations  ·  Business unit Mt. Morgan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Operations Superintendent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approver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Manager</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Rev 0</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p>
      <w:pPr>
        <w:pStyle w:val="Heading1"/>
        <w:spacing w:after="120" w:before="260"/>
      </w:pPr>
      <w:r>
        <w:rPr>
          <w:rFonts w:ascii="Calibri" w:cs="Calibri" w:eastAsia="Calibri" w:hAnsi="Calibri"/>
          <w:b/>
          <w:bCs/>
          <w:color w:val="1F3864"/>
          <w:sz w:val="24"/>
          <w:szCs w:val="24"/>
        </w:rPr>
        <w:t xml:space="preserve">1  PURPOSE / SCOPE</w:t>
      </w:r>
    </w:p>
    <w:p>
      <w:pPr>
        <w:spacing w:after="60" w:before="0" w:line="245"/>
      </w:pPr>
      <w:r>
        <w:rPr>
          <w:rFonts w:ascii="Calibri" w:cs="Calibri" w:eastAsia="Calibri" w:hAnsi="Calibri"/>
          <w:sz w:val="17"/>
          <w:szCs w:val="17"/>
        </w:rPr>
        <w:t xml:space="preserve">This job safety and environmental analysis covers the task emergency shower and eyewash inspection and test in 305  Laboratory Services at the Mt. Morgan processing plant. It identifies the hazards at each step of the task, the controls required, and the residual risk once those controls are in place.</w:t>
      </w:r>
    </w:p>
    <w:p>
      <w:pPr>
        <w:pStyle w:val="ListParagraph"/>
        <w:numPr>
          <w:ilvl w:val="0"/>
          <w:numId w:val="1"/>
        </w:numPr>
        <w:spacing w:after="60" w:line="245"/>
      </w:pPr>
      <w:r>
        <w:rPr>
          <w:rFonts w:ascii="Calibri" w:cs="Calibri" w:eastAsia="Calibri" w:hAnsi="Calibri"/>
          <w:sz w:val="17"/>
          <w:szCs w:val="17"/>
        </w:rPr>
        <w:t xml:space="preserve">Inspect and test the emergency showers and eyewash stations.</w:t>
      </w:r>
    </w:p>
    <w:p>
      <w:pPr>
        <w:pStyle w:val="ListParagraph"/>
        <w:numPr>
          <w:ilvl w:val="0"/>
          <w:numId w:val="1"/>
        </w:numPr>
        <w:spacing w:after="60" w:line="245"/>
      </w:pPr>
      <w:r>
        <w:rPr>
          <w:rFonts w:ascii="Calibri" w:cs="Calibri" w:eastAsia="Calibri" w:hAnsi="Calibri"/>
          <w:sz w:val="17"/>
          <w:szCs w:val="17"/>
        </w:rPr>
        <w:t xml:space="preserve">In an acid or cyanide splash the first 15 seconds decide the outcome. A shower that does not flow, or flows scalding, is worse than useless.</w:t>
      </w:r>
    </w:p>
    <w:p>
      <w:pPr>
        <w:spacing w:after="60" w:before="0" w:line="245"/>
      </w:pPr>
      <w:r>
        <w:rPr>
          <w:rFonts w:ascii="Calibri" w:cs="Calibri" w:eastAsia="Calibri" w:hAnsi="Calibri"/>
          <w:sz w:val="17"/>
          <w:szCs w:val="17"/>
        </w:rPr>
        <w:t xml:space="preserve">It is read with work instruction SWI-PRO-LAB-305-007, which gives the step-by-step method, and with HM-PRC-VXX-PRO216 Laboratory Services, Safety and Quality, the procedure this task sits under.</w:t>
      </w:r>
    </w:p>
    <w:p>
      <w:pPr>
        <w:pStyle w:val="Heading1"/>
        <w:spacing w:after="120" w:before="260"/>
      </w:pPr>
      <w:r>
        <w:rPr>
          <w:rFonts w:ascii="Calibri" w:cs="Calibri" w:eastAsia="Calibri" w:hAnsi="Calibri"/>
          <w:b/>
          <w:bCs/>
          <w:color w:val="1F3864"/>
          <w:sz w:val="24"/>
          <w:szCs w:val="24"/>
        </w:rPr>
        <w:t xml:space="preserve">2  RESPONSIBILITIES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600"/>
        <w:gridCol w:w="12238"/>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Role</w:t>
            </w:r>
          </w:p>
        </w:tc>
        <w:tc>
          <w:tcPr>
            <w:tcW w:type="dxa" w:w="122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Responsibilities</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Operator / Metallurgical Technician</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Only carry out this task where competent and authorised to do so.</w:t>
            </w:r>
          </w:p>
          <w:p>
            <w:pPr>
              <w:spacing w:after="30" w:line="235"/>
            </w:pPr>
            <w:r>
              <w:rPr>
                <w:rFonts w:ascii="Calibri" w:cs="Calibri" w:eastAsia="Calibri" w:hAnsi="Calibri"/>
                <w:sz w:val="16"/>
                <w:szCs w:val="16"/>
              </w:rPr>
              <w:t xml:space="preserve">Wear the PPE listed in Section 5 without exception.</w:t>
            </w:r>
          </w:p>
          <w:p>
            <w:pPr>
              <w:spacing w:after="30" w:line="235"/>
            </w:pPr>
            <w:r>
              <w:rPr>
                <w:rFonts w:ascii="Calibri" w:cs="Calibri" w:eastAsia="Calibri" w:hAnsi="Calibri"/>
                <w:sz w:val="16"/>
                <w:szCs w:val="16"/>
              </w:rPr>
              <w:t xml:space="preserve">Stop the task and report immediately if any control in Section 4 is not in place.</w:t>
            </w:r>
          </w:p>
          <w:p>
            <w:pPr>
              <w:spacing w:after="0" w:line="235"/>
            </w:pPr>
            <w:r>
              <w:rPr>
                <w:rFonts w:ascii="Calibri" w:cs="Calibri" w:eastAsia="Calibri" w:hAnsi="Calibri"/>
                <w:sz w:val="16"/>
                <w:szCs w:val="16"/>
              </w:rPr>
              <w:t xml:space="preserve">Record the work accurately. Never invent or back-fill a result that was not obtained.</w:t>
            </w:r>
          </w:p>
        </w:tc>
      </w:tr>
      <w:tr>
        <w:tc>
          <w:tcPr>
            <w:tcW w:type="dxa" w:w="26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Supervisor / Coordinator</w:t>
            </w:r>
          </w:p>
        </w:tc>
        <w:tc>
          <w:tcPr>
            <w:tcW w:type="dxa" w:w="12238"/>
            <w:shd w:val="clear" w:color="auto" w:fill="F2F5FA"/>
            <w:tcMar>
              <w:top w:type="dxa" w:w="55"/>
              <w:left w:type="dxa" w:w="85"/>
              <w:bottom w:type="dxa" w:w="55"/>
              <w:right w:type="dxa" w:w="85"/>
            </w:tcMar>
          </w:tcPr>
          <w:p>
            <w:pPr>
              <w:spacing w:after="30" w:line="235"/>
            </w:pPr>
            <w:r>
              <w:rPr>
                <w:rFonts w:ascii="Calibri" w:cs="Calibri" w:eastAsia="Calibri" w:hAnsi="Calibri"/>
                <w:sz w:val="16"/>
                <w:szCs w:val="16"/>
              </w:rPr>
              <w:t xml:space="preserve">Ensure the safety of all personnel carrying out this task.</w:t>
            </w:r>
          </w:p>
          <w:p>
            <w:pPr>
              <w:spacing w:after="30" w:line="235"/>
            </w:pPr>
            <w:r>
              <w:rPr>
                <w:rFonts w:ascii="Calibri" w:cs="Calibri" w:eastAsia="Calibri" w:hAnsi="Calibri"/>
                <w:sz w:val="16"/>
                <w:szCs w:val="16"/>
              </w:rPr>
              <w:t xml:space="preserve">Understand that much of the plant is automated and equipment may start or stop without warning.</w:t>
            </w:r>
          </w:p>
          <w:p>
            <w:pPr>
              <w:spacing w:after="30" w:line="235"/>
            </w:pPr>
            <w:r>
              <w:rPr>
                <w:rFonts w:ascii="Calibri" w:cs="Calibri" w:eastAsia="Calibri" w:hAnsi="Calibri"/>
                <w:sz w:val="16"/>
                <w:szCs w:val="16"/>
              </w:rPr>
              <w:t xml:space="preserve">Confirm the task is authorised and that the area is fit before it starts.</w:t>
            </w:r>
          </w:p>
          <w:p>
            <w:pPr>
              <w:spacing w:after="0" w:line="235"/>
            </w:pPr>
            <w:r>
              <w:rPr>
                <w:rFonts w:ascii="Calibri" w:cs="Calibri" w:eastAsia="Calibri" w:hAnsi="Calibri"/>
                <w:sz w:val="16"/>
                <w:szCs w:val="16"/>
              </w:rPr>
              <w:t xml:space="preserve">Ensure this JSEA is communicated to everyone doing the task and that the sign-on sheet is completed.</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Manager / Superintendent</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Ensure all personnel have received adequate training and are competent.</w:t>
            </w:r>
          </w:p>
          <w:p>
            <w:pPr>
              <w:spacing w:after="30" w:line="235"/>
            </w:pPr>
            <w:r>
              <w:rPr>
                <w:rFonts w:ascii="Calibri" w:cs="Calibri" w:eastAsia="Calibri" w:hAnsi="Calibri"/>
                <w:sz w:val="16"/>
                <w:szCs w:val="16"/>
              </w:rPr>
              <w:t xml:space="preserve">Ensure this JSEA is reviewed at the interval in Section 10 and after any incident or change.</w:t>
            </w:r>
          </w:p>
          <w:p>
            <w:pPr>
              <w:spacing w:after="0" w:line="235"/>
            </w:pPr>
            <w:r>
              <w:rPr>
                <w:rFonts w:ascii="Calibri" w:cs="Calibri" w:eastAsia="Calibri" w:hAnsi="Calibri"/>
                <w:sz w:val="16"/>
                <w:szCs w:val="16"/>
              </w:rPr>
              <w:t xml:space="preserve">Approve the risk ranking in Section 4.</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3  ABBREVIATIONS / DEFINITIONS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000"/>
        <w:gridCol w:w="12838"/>
      </w:tblGrid>
      <w:tr>
        <w:trPr>
          <w:tblHeader/>
        </w:trPr>
        <w:tc>
          <w:tcPr>
            <w:tcW w:type="dxa" w:w="20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Term</w:t>
            </w:r>
          </w:p>
        </w:tc>
        <w:tc>
          <w:tcPr>
            <w:tcW w:type="dxa" w:w="12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Meaning</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AVR</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Acidification, volatilisation and regeneration - the cyanide recovery step in Area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CIL</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Carbon in leach</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CN Free</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Free cyanide, determined by silver nitrate titration</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DO</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Dissolved oxygen</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HCN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Hydrogen cyanide gas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JSEA</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Job safety and environmental analysis - this document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P80</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screen size through which 80 per cent of the material passes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PPE</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Personal protective equipment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ReCYN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resin-in-pulp cyanide and metal recovery process used in Areas 041, 051, 071 and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SWI</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Standard work instruction - the step-by-step document that sits under this JSEA</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SWP</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Standard work procedure - the circuit-level procedure this task sits under</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TSF</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Tailings storage facility</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WAD 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Weak acid dissociable cyanide</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4  POTENTIAL HAZARDS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700"/>
        <w:gridCol w:w="13138"/>
      </w:tblGrid>
      <w:tr>
        <w:trPr>
          <w:tblHeader/>
        </w:trPr>
        <w:tc>
          <w:tcPr>
            <w:tcW w:type="dxa" w:w="17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Scale</w:t>
            </w:r>
          </w:p>
        </w:tc>
        <w:tc>
          <w:tcPr>
            <w:tcW w:type="dxa" w:w="131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Values</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Probability</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Rare   2 Unlikely   3 Possible   4 Likely   5 Almost certain</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Consequence</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Insignificant   2 Minor   3 Moderate   4 Major   5 Catastrophic</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Risk rank</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Probability x Consequence.   1-4 Low   5-9 Medium   10-14 High   15-25 Extreme. Scored after the controls in the same row are in place.</w:t>
            </w:r>
          </w:p>
        </w:tc>
      </w:tr>
    </w:tbl>
    <w:p>
      <w:pPr>
        <w:spacing w:after="60" w:before="0" w:line="245"/>
      </w:pPr>
    </w:p>
    <w:tbl>
      <w:tblPr>
        <w:tblW w:type="dxa" w:w="14250"/>
        <w:tblBorders>
          <w:top w:val="single" w:color="auto" w:sz="4"/>
          <w:left w:val="single" w:color="auto" w:sz="4"/>
          <w:bottom w:val="single" w:color="auto" w:sz="4"/>
          <w:right w:val="single" w:color="auto" w:sz="4"/>
          <w:insideH w:val="single" w:color="auto" w:sz="4"/>
          <w:insideV w:val="single" w:color="auto" w:sz="4"/>
        </w:tblBorders>
      </w:tblPr>
      <w:tblGrid>
        <w:gridCol w:w="2500"/>
        <w:gridCol w:w="3100"/>
        <w:gridCol w:w="5100"/>
        <w:gridCol w:w="500"/>
        <w:gridCol w:w="500"/>
        <w:gridCol w:w="1350"/>
        <w:gridCol w:w="1200"/>
      </w:tblGrid>
      <w:tr>
        <w:trPr>
          <w:tblHeader/>
        </w:trPr>
        <w:tc>
          <w:tcPr>
            <w:tcW w:type="dxa" w:w="25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Job step</w:t>
            </w:r>
          </w:p>
        </w:tc>
        <w:tc>
          <w:tcPr>
            <w:tcW w:type="dxa" w:w="3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Hazards identified</w:t>
            </w:r>
          </w:p>
        </w:tc>
        <w:tc>
          <w:tcPr>
            <w:tcW w:type="dxa" w:w="5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Controls required</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P</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C</w:t>
            </w:r>
          </w:p>
        </w:tc>
        <w:tc>
          <w:tcPr>
            <w:tcW w:type="dxa" w:w="135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Risk</w:t>
            </w:r>
          </w:p>
        </w:tc>
        <w:tc>
          <w:tcPr>
            <w:tcW w:type="dxa" w:w="1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Actioned by</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1.  Run every shower and eyewash weekly for long enough to clear the standing water in the line. That standing water is the first thing to hit the casualty.</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Slip, trip or fall on wet or slurry-covered walkways around sample points</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Spillage cleaned up immediately and the point left clean. Walkways kept clear of hoses, buckets and containers. Safety boots with sound tread. Report any damaged or missing grating before use.</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6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2.  Confirm the flow pattern is correct and covers both eyes on the eyewash.</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Slip, trip or fall on wet or slurry-covered walkways around sample points</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Spillage cleaned up immediately and the point left clean. Walkways kept clear of hoses, buckets and containers. Safety boots with sound tread. Report any damaged or missing grating before use.</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6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3.  Check the water temperature. Scalding or freezing water means the casualty steps out before the 15 minutes are up.</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Slip, trip or fall on wet or slurry-covered walkways around sample points</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Spillage cleaned up immediately and the point left clean. Walkways kept clear of hoses, buckets and containers. Safety boots with sound tread. Report any damaged or missing grating before use.</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6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4.  Confirm every unit is unobstructed and reachable in seconds from every working position. Nothing is stored in front of a shower, ever.</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Slip, trip or fall on wet or slurry-covered walkways around sample points</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Spillage cleaned up immediately and the point left clean. Walkways kept clear of hoses, buckets and containers. Safety boots with sound tread. Report any damaged or missing grating before use.</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6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5.  Check the pull handle and the stay-open valve operate and hold.</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Slip, trip or fall on wet or slurry-covered walkways around sample points</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Spillage cleaned up immediately and the point left clean. Walkways kept clear of hoses, buckets and containers. Safety boots with sound tread. Report any damaged or missing grating before use.</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6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6.  Confirm the eyewash dust caps are in place between uses.</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Slip, trip or fall on wet or slurry-covered walkways around sample points</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Spillage cleaned up immediately and the point left clean. Walkways kept clear of hoses, buckets and containers. Safety boots with sound tread. Report any damaged or missing grating before use.</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6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7.  Tag and record every test. Report and escalate any failure the same day - a failed shower closes the affected work.</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Slip, trip or fall on wet or slurry-covered walkways around sample points</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Spillage cleaned up immediately and the point left clean. Walkways kept clear of hoses, buckets and containers. Safety boots with sound tread. Report any damaged or missing grating before use.</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6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5  PPE</w:t>
      </w:r>
    </w:p>
    <w:p>
      <w:pPr>
        <w:spacing w:after="60" w:before="0" w:line="245"/>
      </w:pPr>
      <w:r>
        <w:rPr>
          <w:rFonts w:ascii="Calibri" w:cs="Calibri" w:eastAsia="Calibri" w:hAnsi="Calibri"/>
          <w:sz w:val="17"/>
          <w:szCs w:val="17"/>
        </w:rPr>
        <w:t xml:space="preserve">Standard PPE is worn for all normal operations in the Mt. Morgan gold processing plant. The following is required for this task.</w:t>
      </w:r>
    </w:p>
    <w:p>
      <w:pPr>
        <w:pStyle w:val="ListParagraph"/>
        <w:numPr>
          <w:ilvl w:val="0"/>
          <w:numId w:val="1"/>
        </w:numPr>
        <w:spacing w:after="60" w:line="245"/>
      </w:pPr>
      <w:r>
        <w:rPr>
          <w:rFonts w:ascii="Calibri" w:cs="Calibri" w:eastAsia="Calibri" w:hAnsi="Calibri"/>
          <w:sz w:val="17"/>
          <w:szCs w:val="17"/>
        </w:rPr>
        <w:t xml:space="preserve">Hard hat</w:t>
      </w:r>
    </w:p>
    <w:p>
      <w:pPr>
        <w:pStyle w:val="ListParagraph"/>
        <w:numPr>
          <w:ilvl w:val="0"/>
          <w:numId w:val="1"/>
        </w:numPr>
        <w:spacing w:after="60" w:line="245"/>
      </w:pPr>
      <w:r>
        <w:rPr>
          <w:rFonts w:ascii="Calibri" w:cs="Calibri" w:eastAsia="Calibri" w:hAnsi="Calibri"/>
          <w:sz w:val="17"/>
          <w:szCs w:val="17"/>
        </w:rPr>
        <w:t xml:space="preserve">Safety glasses</w:t>
      </w:r>
    </w:p>
    <w:p>
      <w:pPr>
        <w:pStyle w:val="ListParagraph"/>
        <w:numPr>
          <w:ilvl w:val="0"/>
          <w:numId w:val="1"/>
        </w:numPr>
        <w:spacing w:after="60" w:line="245"/>
      </w:pPr>
      <w:r>
        <w:rPr>
          <w:rFonts w:ascii="Calibri" w:cs="Calibri" w:eastAsia="Calibri" w:hAnsi="Calibri"/>
          <w:sz w:val="17"/>
          <w:szCs w:val="17"/>
        </w:rPr>
        <w:t xml:space="preserve">High-visibility long-sleeved shirt and long trousers</w:t>
      </w:r>
    </w:p>
    <w:p>
      <w:pPr>
        <w:pStyle w:val="ListParagraph"/>
        <w:numPr>
          <w:ilvl w:val="0"/>
          <w:numId w:val="1"/>
        </w:numPr>
        <w:spacing w:after="60" w:line="245"/>
      </w:pPr>
      <w:r>
        <w:rPr>
          <w:rFonts w:ascii="Calibri" w:cs="Calibri" w:eastAsia="Calibri" w:hAnsi="Calibri"/>
          <w:sz w:val="17"/>
          <w:szCs w:val="17"/>
        </w:rPr>
        <w:t xml:space="preserve">Safety boots</w:t>
      </w:r>
    </w:p>
    <w:p>
      <w:pPr>
        <w:pStyle w:val="ListParagraph"/>
        <w:numPr>
          <w:ilvl w:val="0"/>
          <w:numId w:val="1"/>
        </w:numPr>
        <w:spacing w:after="60" w:line="245"/>
      </w:pPr>
      <w:r>
        <w:rPr>
          <w:rFonts w:ascii="Calibri" w:cs="Calibri" w:eastAsia="Calibri" w:hAnsi="Calibri"/>
          <w:sz w:val="17"/>
          <w:szCs w:val="17"/>
        </w:rPr>
        <w:t xml:space="preserve">Gloves appropriate to the task</w:t>
      </w:r>
    </w:p>
    <w:p>
      <w:pPr>
        <w:pStyle w:val="Heading1"/>
        <w:spacing w:after="120" w:before="260"/>
      </w:pPr>
      <w:r>
        <w:rPr>
          <w:rFonts w:ascii="Calibri" w:cs="Calibri" w:eastAsia="Calibri" w:hAnsi="Calibri"/>
          <w:b/>
          <w:bCs/>
          <w:color w:val="1F3864"/>
          <w:sz w:val="24"/>
          <w:szCs w:val="24"/>
        </w:rPr>
        <w:t xml:space="preserve">6  PROCEDURE</w:t>
      </w:r>
    </w:p>
    <w:p>
      <w:pPr>
        <w:spacing w:after="90" w:before="180" w:line="245"/>
        <w:keepNext/>
      </w:pPr>
      <w:r>
        <w:rPr>
          <w:rFonts w:ascii="Calibri" w:cs="Calibri" w:eastAsia="Calibri" w:hAnsi="Calibri"/>
          <w:b/>
          <w:bCs/>
          <w:color w:val="1F3864"/>
          <w:sz w:val="19"/>
          <w:szCs w:val="19"/>
        </w:rPr>
        <w:t xml:space="preserve">6.1  Introduction</w:t>
      </w:r>
    </w:p>
    <w:p>
      <w:pPr>
        <w:spacing w:after="60" w:before="0" w:line="245"/>
      </w:pPr>
      <w:r>
        <w:rPr>
          <w:rFonts w:ascii="Calibri" w:cs="Calibri" w:eastAsia="Calibri" w:hAnsi="Calibri"/>
          <w:b/>
          <w:bCs/>
          <w:sz w:val="17"/>
          <w:szCs w:val="17"/>
        </w:rPr>
        <w:t xml:space="preserve">Warning: many operations on the gold processing plant are automated and equipment may start or stop without warning. It is the operator's responsibility to ensure the safety of all personnel working on the plant at all times.</w:t>
      </w:r>
    </w:p>
    <w:p>
      <w:pPr>
        <w:spacing w:after="60" w:before="0" w:line="245"/>
      </w:pPr>
      <w:r>
        <w:rPr>
          <w:rFonts w:ascii="Calibri" w:cs="Calibri" w:eastAsia="Calibri" w:hAnsi="Calibri"/>
          <w:sz w:val="17"/>
          <w:szCs w:val="17"/>
        </w:rPr>
        <w:t xml:space="preserve">Frequency: Weekly test; annual full inspection.</w:t>
      </w:r>
    </w:p>
    <w:p>
      <w:pPr>
        <w:spacing w:after="90" w:before="180" w:line="245"/>
        <w:keepNext/>
      </w:pPr>
      <w:r>
        <w:rPr>
          <w:rFonts w:ascii="Calibri" w:cs="Calibri" w:eastAsia="Calibri" w:hAnsi="Calibri"/>
          <w:b/>
          <w:bCs/>
          <w:color w:val="1F3864"/>
          <w:sz w:val="19"/>
          <w:szCs w:val="19"/>
        </w:rPr>
        <w:t xml:space="preserve">6.2  Job steps</w:t>
      </w:r>
    </w:p>
    <w:p>
      <w:pPr>
        <w:ind w:left="280"/>
        <w:spacing w:after="50" w:before="0" w:line="245"/>
      </w:pPr>
      <w:r>
        <w:rPr>
          <w:rFonts w:ascii="Calibri" w:cs="Calibri" w:eastAsia="Calibri" w:hAnsi="Calibri"/>
          <w:b/>
          <w:bCs/>
          <w:sz w:val="17"/>
          <w:szCs w:val="17"/>
        </w:rPr>
        <w:t xml:space="preserve">1.</w:t>
      </w:r>
      <w:r>
        <w:rPr>
          <w:rFonts w:ascii="Calibri" w:cs="Calibri" w:eastAsia="Calibri" w:hAnsi="Calibri"/>
          <w:sz w:val="17"/>
          <w:szCs w:val="17"/>
        </w:rPr>
        <w:t xml:space="preserve">  Run every shower and eyewash weekly for long enough to clear the standing water in the line. That standing water is the first thing to hit the casualty.</w:t>
      </w:r>
    </w:p>
    <w:p>
      <w:pPr>
        <w:ind w:left="280"/>
        <w:spacing w:after="50" w:before="0" w:line="245"/>
      </w:pPr>
      <w:r>
        <w:rPr>
          <w:rFonts w:ascii="Calibri" w:cs="Calibri" w:eastAsia="Calibri" w:hAnsi="Calibri"/>
          <w:b/>
          <w:bCs/>
          <w:sz w:val="17"/>
          <w:szCs w:val="17"/>
        </w:rPr>
        <w:t xml:space="preserve">2.</w:t>
      </w:r>
      <w:r>
        <w:rPr>
          <w:rFonts w:ascii="Calibri" w:cs="Calibri" w:eastAsia="Calibri" w:hAnsi="Calibri"/>
          <w:sz w:val="17"/>
          <w:szCs w:val="17"/>
        </w:rPr>
        <w:t xml:space="preserve">  Confirm the flow pattern is correct and covers both eyes on the eyewash.</w:t>
      </w:r>
    </w:p>
    <w:p>
      <w:pPr>
        <w:ind w:left="280"/>
        <w:spacing w:after="50" w:before="0" w:line="245"/>
      </w:pPr>
      <w:r>
        <w:rPr>
          <w:rFonts w:ascii="Calibri" w:cs="Calibri" w:eastAsia="Calibri" w:hAnsi="Calibri"/>
          <w:b/>
          <w:bCs/>
          <w:sz w:val="17"/>
          <w:szCs w:val="17"/>
        </w:rPr>
        <w:t xml:space="preserve">3.</w:t>
      </w:r>
      <w:r>
        <w:rPr>
          <w:rFonts w:ascii="Calibri" w:cs="Calibri" w:eastAsia="Calibri" w:hAnsi="Calibri"/>
          <w:sz w:val="17"/>
          <w:szCs w:val="17"/>
        </w:rPr>
        <w:t xml:space="preserve">  Check the water temperature. Scalding or freezing water means the casualty steps out before the 15 minutes are up.</w:t>
      </w:r>
    </w:p>
    <w:p>
      <w:pPr>
        <w:ind w:left="280"/>
        <w:spacing w:after="50" w:before="0" w:line="245"/>
      </w:pPr>
      <w:r>
        <w:rPr>
          <w:rFonts w:ascii="Calibri" w:cs="Calibri" w:eastAsia="Calibri" w:hAnsi="Calibri"/>
          <w:b/>
          <w:bCs/>
          <w:sz w:val="17"/>
          <w:szCs w:val="17"/>
        </w:rPr>
        <w:t xml:space="preserve">4.</w:t>
      </w:r>
      <w:r>
        <w:rPr>
          <w:rFonts w:ascii="Calibri" w:cs="Calibri" w:eastAsia="Calibri" w:hAnsi="Calibri"/>
          <w:sz w:val="17"/>
          <w:szCs w:val="17"/>
        </w:rPr>
        <w:t xml:space="preserve">  Confirm every unit is unobstructed and reachable in seconds from every working position. Nothing is stored in front of a shower, ever.</w:t>
      </w:r>
    </w:p>
    <w:p>
      <w:pPr>
        <w:ind w:left="280"/>
        <w:spacing w:after="50" w:before="0" w:line="245"/>
      </w:pPr>
      <w:r>
        <w:rPr>
          <w:rFonts w:ascii="Calibri" w:cs="Calibri" w:eastAsia="Calibri" w:hAnsi="Calibri"/>
          <w:b/>
          <w:bCs/>
          <w:sz w:val="17"/>
          <w:szCs w:val="17"/>
        </w:rPr>
        <w:t xml:space="preserve">5.</w:t>
      </w:r>
      <w:r>
        <w:rPr>
          <w:rFonts w:ascii="Calibri" w:cs="Calibri" w:eastAsia="Calibri" w:hAnsi="Calibri"/>
          <w:sz w:val="17"/>
          <w:szCs w:val="17"/>
        </w:rPr>
        <w:t xml:space="preserve">  Check the pull handle and the stay-open valve operate and hold.</w:t>
      </w:r>
    </w:p>
    <w:p>
      <w:pPr>
        <w:ind w:left="280"/>
        <w:spacing w:after="50" w:before="0" w:line="245"/>
      </w:pPr>
      <w:r>
        <w:rPr>
          <w:rFonts w:ascii="Calibri" w:cs="Calibri" w:eastAsia="Calibri" w:hAnsi="Calibri"/>
          <w:b/>
          <w:bCs/>
          <w:sz w:val="17"/>
          <w:szCs w:val="17"/>
        </w:rPr>
        <w:t xml:space="preserve">6.</w:t>
      </w:r>
      <w:r>
        <w:rPr>
          <w:rFonts w:ascii="Calibri" w:cs="Calibri" w:eastAsia="Calibri" w:hAnsi="Calibri"/>
          <w:sz w:val="17"/>
          <w:szCs w:val="17"/>
        </w:rPr>
        <w:t xml:space="preserve">  Confirm the eyewash dust caps are in place between uses.</w:t>
      </w:r>
    </w:p>
    <w:p>
      <w:pPr>
        <w:ind w:left="280"/>
        <w:spacing w:after="50" w:before="0" w:line="245"/>
      </w:pPr>
      <w:r>
        <w:rPr>
          <w:rFonts w:ascii="Calibri" w:cs="Calibri" w:eastAsia="Calibri" w:hAnsi="Calibri"/>
          <w:b/>
          <w:bCs/>
          <w:sz w:val="17"/>
          <w:szCs w:val="17"/>
        </w:rPr>
        <w:t xml:space="preserve">7.</w:t>
      </w:r>
      <w:r>
        <w:rPr>
          <w:rFonts w:ascii="Calibri" w:cs="Calibri" w:eastAsia="Calibri" w:hAnsi="Calibri"/>
          <w:sz w:val="17"/>
          <w:szCs w:val="17"/>
        </w:rPr>
        <w:t xml:space="preserve">  Tag and record every test. Report and escalate any failure the same day - a failed shower closes the affected work.</w:t>
      </w:r>
    </w:p>
    <w:p>
      <w:pPr>
        <w:spacing w:after="60" w:before="0" w:line="245"/>
      </w:pPr>
      <w:r>
        <w:rPr>
          <w:rFonts w:ascii="Calibri" w:cs="Calibri" w:eastAsia="Calibri" w:hAnsi="Calibri"/>
          <w:sz w:val="17"/>
          <w:szCs w:val="17"/>
        </w:rPr>
        <w:t xml:space="preserve">Equipment required:</w:t>
      </w:r>
    </w:p>
    <w:p>
      <w:pPr>
        <w:pStyle w:val="ListParagraph"/>
        <w:numPr>
          <w:ilvl w:val="0"/>
          <w:numId w:val="1"/>
        </w:numPr>
        <w:spacing w:after="60" w:line="245"/>
      </w:pPr>
      <w:r>
        <w:rPr>
          <w:rFonts w:ascii="Calibri" w:cs="Calibri" w:eastAsia="Calibri" w:hAnsi="Calibri"/>
          <w:sz w:val="17"/>
          <w:szCs w:val="17"/>
        </w:rPr>
        <w:t xml:space="preserve">Safety shower with eye wash</w:t>
      </w:r>
    </w:p>
    <w:p>
      <w:pPr>
        <w:pStyle w:val="ListParagraph"/>
        <w:numPr>
          <w:ilvl w:val="0"/>
          <w:numId w:val="1"/>
        </w:numPr>
        <w:spacing w:after="60" w:line="245"/>
      </w:pPr>
      <w:r>
        <w:rPr>
          <w:rFonts w:ascii="Calibri" w:cs="Calibri" w:eastAsia="Calibri" w:hAnsi="Calibri"/>
          <w:sz w:val="17"/>
          <w:szCs w:val="17"/>
        </w:rPr>
        <w:t xml:space="preserve">3 x eye wash stations</w:t>
      </w:r>
    </w:p>
    <w:p>
      <w:pPr>
        <w:pStyle w:val="ListParagraph"/>
        <w:numPr>
          <w:ilvl w:val="0"/>
          <w:numId w:val="1"/>
        </w:numPr>
        <w:spacing w:after="60" w:line="245"/>
      </w:pPr>
      <w:r>
        <w:rPr>
          <w:rFonts w:ascii="Calibri" w:cs="Calibri" w:eastAsia="Calibri" w:hAnsi="Calibri"/>
          <w:sz w:val="17"/>
          <w:szCs w:val="17"/>
        </w:rPr>
        <w:t xml:space="preserve">Test bag or drain hose</w:t>
      </w:r>
    </w:p>
    <w:p>
      <w:pPr>
        <w:pStyle w:val="ListParagraph"/>
        <w:numPr>
          <w:ilvl w:val="0"/>
          <w:numId w:val="1"/>
        </w:numPr>
        <w:spacing w:after="60" w:line="245"/>
      </w:pPr>
      <w:r>
        <w:rPr>
          <w:rFonts w:ascii="Calibri" w:cs="Calibri" w:eastAsia="Calibri" w:hAnsi="Calibri"/>
          <w:sz w:val="17"/>
          <w:szCs w:val="17"/>
        </w:rPr>
        <w:t xml:space="preserve">Thermometer</w:t>
      </w:r>
    </w:p>
    <w:p>
      <w:pPr>
        <w:pStyle w:val="ListParagraph"/>
        <w:numPr>
          <w:ilvl w:val="0"/>
          <w:numId w:val="1"/>
        </w:numPr>
        <w:spacing w:after="60" w:line="245"/>
      </w:pPr>
      <w:r>
        <w:rPr>
          <w:rFonts w:ascii="Calibri" w:cs="Calibri" w:eastAsia="Calibri" w:hAnsi="Calibri"/>
          <w:sz w:val="17"/>
          <w:szCs w:val="17"/>
        </w:rPr>
        <w:t xml:space="preserve">Inspection tags</w:t>
      </w:r>
    </w:p>
    <w:p>
      <w:pPr>
        <w:pStyle w:val="ListParagraph"/>
        <w:numPr>
          <w:ilvl w:val="0"/>
          <w:numId w:val="1"/>
        </w:numPr>
        <w:spacing w:after="60" w:line="245"/>
      </w:pPr>
      <w:r>
        <w:rPr>
          <w:rFonts w:ascii="Calibri" w:cs="Calibri" w:eastAsia="Calibri" w:hAnsi="Calibri"/>
          <w:sz w:val="17"/>
          <w:szCs w:val="17"/>
        </w:rPr>
        <w:t xml:space="preserve">Log sheet</w:t>
      </w:r>
    </w:p>
    <w:p>
      <w:pPr>
        <w:pStyle w:val="Heading1"/>
        <w:spacing w:after="120" w:before="260"/>
      </w:pPr>
      <w:r>
        <w:rPr>
          <w:rFonts w:ascii="Calibri" w:cs="Calibri" w:eastAsia="Calibri" w:hAnsi="Calibri"/>
          <w:b/>
          <w:bCs/>
          <w:color w:val="1F3864"/>
          <w:sz w:val="24"/>
          <w:szCs w:val="24"/>
        </w:rPr>
        <w:t xml:space="preserve">7  FLOWCHART</w:t>
      </w:r>
    </w:p>
    <w:p>
      <w:pPr>
        <w:spacing w:after="60" w:before="0" w:line="245"/>
      </w:pPr>
      <w:r>
        <w:rPr>
          <w:rFonts w:ascii="Calibri" w:cs="Calibri" w:eastAsia="Calibri" w:hAnsi="Calibri"/>
          <w:sz w:val="17"/>
          <w:szCs w:val="17"/>
        </w:rPr>
        <w:t xml:space="preserve">Not reproduced in this document. The step sequence is in work instruction SWI-PRO-LAB-305-007 Section 6, which is the controlled version of the method.</w:t>
      </w:r>
    </w:p>
    <w:p>
      <w:pPr>
        <w:pStyle w:val="Heading1"/>
        <w:spacing w:after="120" w:before="260"/>
      </w:pPr>
      <w:r>
        <w:rPr>
          <w:rFonts w:ascii="Calibri" w:cs="Calibri" w:eastAsia="Calibri" w:hAnsi="Calibri"/>
          <w:b/>
          <w:bCs/>
          <w:color w:val="1F3864"/>
          <w:sz w:val="24"/>
          <w:szCs w:val="24"/>
        </w:rPr>
        <w:t xml:space="preserve">8  TRAINING</w:t>
      </w:r>
    </w:p>
    <w:p>
      <w:pPr>
        <w:spacing w:after="60" w:before="0" w:line="245"/>
      </w:pPr>
      <w:r>
        <w:rPr>
          <w:rFonts w:ascii="Calibri" w:cs="Calibri" w:eastAsia="Calibri" w:hAnsi="Calibri"/>
          <w:sz w:val="17"/>
          <w:szCs w:val="17"/>
        </w:rPr>
        <w:t xml:space="preserve">Every person carrying out this task has been through this JSEA at a communication session recorded on the sign-on sheet at the end of this document, and is trained and signed off against work instruction SWI-PRO-LAB-305-007.</w:t>
      </w:r>
    </w:p>
    <w:p>
      <w:pPr>
        <w:pStyle w:val="ListParagraph"/>
        <w:numPr>
          <w:ilvl w:val="0"/>
          <w:numId w:val="1"/>
        </w:numPr>
        <w:spacing w:after="60" w:line="245"/>
      </w:pPr>
      <w:r>
        <w:rPr>
          <w:rFonts w:ascii="Calibri" w:cs="Calibri" w:eastAsia="Calibri" w:hAnsi="Calibri"/>
          <w:sz w:val="17"/>
          <w:szCs w:val="17"/>
        </w:rPr>
        <w:t xml:space="preserve">Site induction, current.</w:t>
      </w:r>
    </w:p>
    <w:p>
      <w:pPr>
        <w:pStyle w:val="ListParagraph"/>
        <w:numPr>
          <w:ilvl w:val="0"/>
          <w:numId w:val="1"/>
        </w:numPr>
        <w:spacing w:after="60" w:line="245"/>
      </w:pPr>
      <w:r>
        <w:rPr>
          <w:rFonts w:ascii="Calibri" w:cs="Calibri" w:eastAsia="Calibri" w:hAnsi="Calibri"/>
          <w:sz w:val="17"/>
          <w:szCs w:val="17"/>
        </w:rPr>
        <w:t xml:space="preserve">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Working at height competency where the task requires it.</w:t>
      </w:r>
    </w:p>
    <w:p>
      <w:pPr>
        <w:pStyle w:val="ListParagraph"/>
        <w:numPr>
          <w:ilvl w:val="0"/>
          <w:numId w:val="1"/>
        </w:numPr>
        <w:spacing w:after="60" w:line="245"/>
      </w:pPr>
      <w:r>
        <w:rPr>
          <w:rFonts w:ascii="Calibri" w:cs="Calibri" w:eastAsia="Calibri" w:hAnsi="Calibri"/>
          <w:sz w:val="17"/>
          <w:szCs w:val="17"/>
        </w:rPr>
        <w:t xml:space="preserve">Competency in the determinations and calculations carried out in this task.</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ILS quote Q0023979: safety shower with eye wash plus 3 separate eye wash stations</w:t>
      </w:r>
    </w:p>
    <w:p>
      <w:pPr>
        <w:pStyle w:val="ListParagraph"/>
        <w:numPr>
          <w:ilvl w:val="0"/>
          <w:numId w:val="1"/>
        </w:numPr>
        <w:spacing w:after="60" w:line="245"/>
      </w:pPr>
      <w:r>
        <w:rPr>
          <w:rFonts w:ascii="Calibri" w:cs="Calibri" w:eastAsia="Calibri" w:hAnsi="Calibri"/>
          <w:sz w:val="17"/>
          <w:szCs w:val="17"/>
        </w:rPr>
        <w:t xml:space="preserve">Heritage register line JSEA-PRO-LAB-305-007, tab JSEA_LAB / SWI-LAB</w:t>
      </w:r>
    </w:p>
    <w:p>
      <w:pPr>
        <w:pStyle w:val="Heading1"/>
        <w:spacing w:after="120" w:before="260"/>
      </w:pPr>
      <w:r>
        <w:rPr>
          <w:rFonts w:ascii="Calibri" w:cs="Calibri" w:eastAsia="Calibri" w:hAnsi="Calibri"/>
          <w:b/>
          <w:bCs/>
          <w:color w:val="1F3864"/>
          <w:sz w:val="24"/>
          <w:szCs w:val="24"/>
        </w:rPr>
        <w:t xml:space="preserve">10  REVIEW</w:t>
      </w:r>
    </w:p>
    <w:p>
      <w:pPr>
        <w:spacing w:after="60" w:before="0" w:line="245"/>
      </w:pPr>
      <w:r>
        <w:rPr>
          <w:rFonts w:ascii="Calibri" w:cs="Calibri" w:eastAsia="Calibri" w:hAnsi="Calibri"/>
          <w:sz w:val="17"/>
          <w:szCs w:val="17"/>
        </w:rPr>
        <w:t xml:space="preserve">This JSEA is reviewed every 12 months, and immediately after any incident, near miss, plant change or change to the schedule affecting this task.</w:t>
      </w:r>
    </w:p>
    <w:p>
      <w:r>
        <w:br w:type="page"/>
      </w:r>
    </w:p>
    <w:p>
      <w:pPr>
        <w:pStyle w:val="Heading1"/>
        <w:spacing w:after="120" w:before="260"/>
      </w:pPr>
      <w:r>
        <w:rPr>
          <w:rFonts w:ascii="Calibri" w:cs="Calibri" w:eastAsia="Calibri" w:hAnsi="Calibri"/>
          <w:b/>
          <w:bCs/>
          <w:color w:val="1F3864"/>
          <w:sz w:val="24"/>
          <w:szCs w:val="24"/>
        </w:rPr>
        <w:t xml:space="preserve">JSEA COMMUNICATION AND AWARENESS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Presented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JSEA reference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JSEA-PRO-LAB-305-007</w:t>
            </w:r>
          </w:p>
        </w:tc>
      </w:tr>
    </w:tbl>
    <w:p>
      <w:pPr>
        <w:spacing w:after="100" w:before="0" w:line="245"/>
      </w:pP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4200"/>
        <w:gridCol w:w="3600"/>
        <w:gridCol w:w="3200"/>
        <w:gridCol w:w="3838"/>
      </w:tblGrid>
      <w:tr>
        <w:trPr>
          <w:tblHeader/>
        </w:trPr>
        <w:tc>
          <w:tcPr>
            <w:tcW w:type="dxa" w:w="4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Name</w:t>
            </w:r>
          </w:p>
        </w:tc>
        <w:tc>
          <w:tcPr>
            <w:tcW w:type="dxa" w:w="3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Position</w:t>
            </w:r>
          </w:p>
        </w:tc>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Department</w:t>
            </w:r>
          </w:p>
        </w:tc>
        <w:tc>
          <w:tcPr>
            <w:tcW w:type="dxa" w:w="3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Signature</w:t>
            </w: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bl>
    <w:p>
      <w:pPr>
        <w:spacing w:after="60" w:before="0" w:line="245"/>
      </w:pPr>
    </w:p>
    <w:sectPr>
      <w:headerReference w:type="default" r:id="rId7"/>
      <w:footerReference w:type="default" r:id="rId8"/>
      <w:pgSz w:w="16838" w:h="11906" w:orient="landscape"/>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JSEA-PRO-LAB-305-007  ·  Emergency Shower and Eyewash Inspection and Test  ·  Rev 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