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Equipment Receipt, Installation and Commissioning Handover</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SWI-PRO-LAB-305-016  Laboratory Equipment Receipt, Installation and Commissioning Handover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equipment receipt, installation and commissioning handover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Receive, install and commission laboratory equipment and hand it over.</w:t>
      </w:r>
    </w:p>
    <w:p>
      <w:pPr>
        <w:spacing w:after="60" w:before="0" w:line="245"/>
      </w:pPr>
      <w:r>
        <w:rPr>
          <w:rFonts w:ascii="Calibri" w:cs="Calibri" w:eastAsia="Calibri" w:hAnsi="Calibri"/>
          <w:sz w:val="17"/>
          <w:szCs w:val="17"/>
        </w:rPr>
        <w:t xml:space="preserve">It is read with work instruction SWI-PRO-LAB-305-016,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every delivery against the quotation line by line. The supply is ex works, so shortages and transit damage are found here or not at all.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services each item needs are in place before installation - power, water, drainage, compressed air, extraction.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Note the items needing work outside the vendor scope: the dust collector pulse-system wiring, its isolator, the GPO and the compressed air connection.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Register the 600 L air receiver as a pressure vessel and arrange its statutory inspection before it goes into service.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Install, level and connect each item per its manual.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Calibrate or verify every instrument and balance before it is used for any result, and file the certificates.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a commissioning check against a known standard on each instrument and record the result.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Enter every item in the asset register with serial number, location, calibration interval and PM requirement.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Hand over item by item and record what is accepted and what remains outstanding.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Once at laboratory establishment; then on every new instrument.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every delivery against the quotation line by line. The supply is ex works, so shortages and transit damage are found here or not at all.</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services each item needs are in place before installation - power, water, drainage, compressed air, extraction.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Note the items needing work outside the vendor scope: the dust collector pulse-system wiring, its isolator, the GPO and the compressed air connection.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Register the 600 L air receiver as a pressure vessel and arrange its statutory inspection before it goes into service.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Install, level and connect each item per its manual.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Calibrate or verify every instrument and balance before it is used for any result, and file the certificates.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a commissioning check against a known standard on each instrument and record the result.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Enter every item in the asset register with serial number, location, calibration interval and PM requirement.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Hand over item by item and record what is accepted and what remains outstanding.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ILS quotation Q0023979 as the asset list</w:t>
      </w:r>
    </w:p>
    <w:p>
      <w:pPr>
        <w:pStyle w:val="ListParagraph"/>
        <w:numPr>
          <w:ilvl w:val="0"/>
          <w:numId w:val="1"/>
        </w:numPr>
        <w:spacing w:after="60" w:line="245"/>
      </w:pPr>
      <w:r>
        <w:rPr>
          <w:rFonts w:ascii="Calibri" w:cs="Calibri" w:eastAsia="Calibri" w:hAnsi="Calibri"/>
          <w:sz w:val="17"/>
          <w:szCs w:val="17"/>
        </w:rPr>
        <w:t xml:space="preserve">Installation drawings and services schedule</w:t>
      </w:r>
    </w:p>
    <w:p>
      <w:pPr>
        <w:pStyle w:val="ListParagraph"/>
        <w:numPr>
          <w:ilvl w:val="0"/>
          <w:numId w:val="1"/>
        </w:numPr>
        <w:spacing w:after="60" w:line="245"/>
      </w:pPr>
      <w:r>
        <w:rPr>
          <w:rFonts w:ascii="Calibri" w:cs="Calibri" w:eastAsia="Calibri" w:hAnsi="Calibri"/>
          <w:sz w:val="17"/>
          <w:szCs w:val="17"/>
        </w:rPr>
        <w:t xml:space="preserve">Calibration certificates</w:t>
      </w:r>
    </w:p>
    <w:p>
      <w:pPr>
        <w:pStyle w:val="ListParagraph"/>
        <w:numPr>
          <w:ilvl w:val="0"/>
          <w:numId w:val="1"/>
        </w:numPr>
        <w:spacing w:after="60" w:line="245"/>
      </w:pPr>
      <w:r>
        <w:rPr>
          <w:rFonts w:ascii="Calibri" w:cs="Calibri" w:eastAsia="Calibri" w:hAnsi="Calibri"/>
          <w:sz w:val="17"/>
          <w:szCs w:val="17"/>
        </w:rPr>
        <w:t xml:space="preserve">Commissioning checklists</w:t>
      </w:r>
    </w:p>
    <w:p>
      <w:pPr>
        <w:pStyle w:val="ListParagraph"/>
        <w:numPr>
          <w:ilvl w:val="0"/>
          <w:numId w:val="1"/>
        </w:numPr>
        <w:spacing w:after="60" w:line="245"/>
      </w:pPr>
      <w:r>
        <w:rPr>
          <w:rFonts w:ascii="Calibri" w:cs="Calibri" w:eastAsia="Calibri" w:hAnsi="Calibri"/>
          <w:sz w:val="17"/>
          <w:szCs w:val="17"/>
        </w:rPr>
        <w:t xml:space="preserve">Asset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SWI-PRO-LAB-305-016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SWI-PRO-LAB-305-016.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is the asset list and the commissioning milestone; lead time 12 to 18 weeks ex works</w:t>
      </w:r>
    </w:p>
    <w:p>
      <w:pPr>
        <w:pStyle w:val="ListParagraph"/>
        <w:numPr>
          <w:ilvl w:val="0"/>
          <w:numId w:val="1"/>
        </w:numPr>
        <w:spacing w:after="60" w:line="245"/>
      </w:pPr>
      <w:r>
        <w:rPr>
          <w:rFonts w:ascii="Calibri" w:cs="Calibri" w:eastAsia="Calibri" w:hAnsi="Calibri"/>
          <w:sz w:val="17"/>
          <w:szCs w:val="17"/>
        </w:rPr>
        <w:t xml:space="preserve">Heritage register line JSEA-PRO-LAB-305-016,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JSEA-PRO-LAB-305-016  ·  Laboratory Equipment Receipt, Installation and Commissioning Handover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