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Screen and Cyclone Performance Survey - Size Split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SWI-PRO-MET-203-003  Screen and Cyclone Performance Survey - Size Split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screen and cyclone performance survey - size split determination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actual size split across each screen and cyclone against what the design assumes.</w:t>
      </w:r>
    </w:p>
    <w:p>
      <w:pPr>
        <w:pStyle w:val="ListParagraph"/>
        <w:numPr>
          <w:ilvl w:val="0"/>
          <w:numId w:val="1"/>
        </w:numPr>
        <w:spacing w:after="60" w:line="245"/>
      </w:pPr>
      <w:r>
        <w:rPr>
          <w:rFonts w:ascii="Calibri" w:cs="Calibri" w:eastAsia="Calibri" w:hAnsi="Calibri"/>
          <w:sz w:val="17"/>
          <w:szCs w:val="17"/>
        </w:rPr>
        <w:t xml:space="preserve">A screen or cyclone not doing what the flowsheet says it does moves the problem downstream, usually into the mill or the adsorption circuit.</w:t>
      </w:r>
    </w:p>
    <w:p>
      <w:pPr>
        <w:spacing w:after="60" w:before="0" w:line="245"/>
      </w:pPr>
      <w:r>
        <w:rPr>
          <w:rFonts w:ascii="Calibri" w:cs="Calibri" w:eastAsia="Calibri" w:hAnsi="Calibri"/>
          <w:sz w:val="17"/>
          <w:szCs w:val="17"/>
        </w:rPr>
        <w:t xml:space="preserve">It is read with work instruction SWI-PRO-MET-203-003,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Sample feed, oversize and undersize on the screen, or feed, overflow and underflow on the cyclone, at the same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increments across the full width or the full discharge, not one grab from the near end.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Filter, dry and weigh each stream.</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Screen each to the full sieve set and record the mass retained on each aperture.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Fall from a tank top, launder platform, column platform or access ladder</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Calculate the partition curve and the actual cut size.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Compare the cut size against the stated aperture for the screen, and against the design cut for the cyclone.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Fall from a tank top, launder platform, column platform or access ladder</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any screen where the cut size and the aperture do not agree - it usually means a torn or wrong panel.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Fall from a tank top, launder platform, column platform or access ladder</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021-SC-001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Trash screen</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032-SC-002/003</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Loaded carbon and carbon safety screens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 / 051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Adsorption interstage and recovery screens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Cyclones</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Overflow and underflow</w:t>
            </w:r>
          </w:p>
        </w:tc>
      </w:tr>
    </w:tbl>
    <w:p>
      <w:pPr>
        <w:spacing w:after="60" w:before="0" w:line="245"/>
      </w:pPr>
    </w:p>
    <w:p>
      <w:pPr>
        <w:spacing w:after="60" w:before="0" w:line="245"/>
      </w:pPr>
      <w:r>
        <w:rPr>
          <w:rFonts w:ascii="Calibri" w:cs="Calibri" w:eastAsia="Calibri" w:hAnsi="Calibri"/>
          <w:sz w:val="17"/>
          <w:szCs w:val="17"/>
        </w:rPr>
        <w:t xml:space="preserve">Frequency: Quarterly, and after any panel change or aperture change.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Sample feed, oversize and undersize on the screen, or feed, overflow and underflow on the cyclone, at the same time.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increments across the full width or the full discharge, not one grab from the near end.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Filter, dry and weigh each stream.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Screen each to the full sieve set and record the mass retained on each aperture.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the partition curve and the actual cut size.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Compare the cut size against the stated aperture for the screen, and against the design cut for the cyclone.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screen where the cut size and the aperture do not agree - it usually means a torn or wrong panel.</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Sieve set and Ro-Tap shaker</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Sample containers by stream</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KBK-MIR-MP-PRO-OPE-SOP-0008 Cyclone Efficiency</w:t>
      </w:r>
    </w:p>
    <w:p>
      <w:pPr>
        <w:pStyle w:val="ListParagraph"/>
        <w:numPr>
          <w:ilvl w:val="0"/>
          <w:numId w:val="1"/>
        </w:numPr>
        <w:spacing w:after="60" w:line="245"/>
      </w:pPr>
      <w:r>
        <w:rPr>
          <w:rFonts w:ascii="Calibri" w:cs="Calibri" w:eastAsia="Calibri" w:hAnsi="Calibri"/>
          <w:sz w:val="17"/>
          <w:szCs w:val="17"/>
        </w:rPr>
        <w:t xml:space="preserve">KBK-MIR-MP-PRO-MET-SOP-0029 Sizing Harian COF and SOP-0020 Distribusi Logam dan Ukuran, both received 11 Aug 2026</w:t>
      </w:r>
    </w:p>
    <w:p>
      <w:pPr>
        <w:pStyle w:val="ListParagraph"/>
        <w:numPr>
          <w:ilvl w:val="0"/>
          <w:numId w:val="1"/>
        </w:numPr>
        <w:spacing w:after="60" w:line="245"/>
      </w:pPr>
      <w:r>
        <w:rPr>
          <w:rFonts w:ascii="Calibri" w:cs="Calibri" w:eastAsia="Calibri" w:hAnsi="Calibri"/>
          <w:sz w:val="17"/>
          <w:szCs w:val="17"/>
        </w:rPr>
        <w:t xml:space="preserve">MM-4034-033 Screen Aperture Register</w:t>
      </w:r>
    </w:p>
    <w:p>
      <w:pPr>
        <w:pStyle w:val="ListParagraph"/>
        <w:numPr>
          <w:ilvl w:val="0"/>
          <w:numId w:val="1"/>
        </w:numPr>
        <w:spacing w:after="60" w:line="245"/>
      </w:pPr>
      <w:r>
        <w:rPr>
          <w:rFonts w:ascii="Calibri" w:cs="Calibri" w:eastAsia="Calibri" w:hAnsi="Calibri"/>
          <w:sz w:val="17"/>
          <w:szCs w:val="17"/>
        </w:rPr>
        <w:t xml:space="preserve">4034-004-VE-025 and 4034-011-VE-022 Goldquip screen manuals,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JSEA-PRO-MET-203-003  ·  Screen and Cyclone Performance Survey - Size Split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