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Adsorption Profile Survey - Metal and Cyanide Resin Circuits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SWI-PRO-MET-203-006  Adsorption Profile Survey - Metal and Cyanide Resin Circuits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HM-PRC-VXX-PRO207  Plant Surveys and Circuit Performance Assessment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203  Plant Surveys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JSEA-PRO-MET-203-006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adsorption profile survey - metal and cyanide resin circuits in 203  Plant Surveys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Build the profile across the metal and cyanide adsorption trains - solution metal, solution cyanide and resin loading tank by tank.</w:t>
      </w:r>
    </w:p>
    <w:p>
      <w:pPr>
        <w:pStyle w:val="ListParagraph"/>
        <w:numPr>
          <w:ilvl w:val="0"/>
          <w:numId w:val="1"/>
        </w:numPr>
        <w:spacing w:after="60" w:line="245"/>
      </w:pPr>
      <w:r>
        <w:rPr>
          <w:rFonts w:ascii="Calibri" w:cs="Calibri" w:eastAsia="Calibri" w:hAnsi="Calibri"/>
          <w:sz w:val="17"/>
          <w:szCs w:val="17"/>
        </w:rPr>
        <w:t xml:space="preserve">This is the measure of whether the ReCYN circuit is recovering what it was bought to recover.</w:t>
      </w:r>
    </w:p>
    <w:p>
      <w:pPr>
        <w:spacing w:after="60" w:before="0" w:line="245"/>
      </w:pPr>
      <w:r>
        <w:rPr>
          <w:rFonts w:ascii="Calibri" w:cs="Calibri" w:eastAsia="Calibri" w:hAnsi="Calibri"/>
          <w:sz w:val="17"/>
          <w:szCs w:val="17"/>
        </w:rPr>
        <w:t xml:space="preserve">It is read with work instruction SWI-PRO-MET-203-006, which gives the step-by-step method, and with HM-PRC-VXX-PRO207 Plant Surveys and Circuit Performance Assessment,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steady state and hold the circuit through the survey.</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Working alone in a cyanide area where a collapse would not be seen</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Sample every adsorption tank in sequence in one pass.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Take resin concentration and a resin sample from each tank on the same pass.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Determine pH and free cyanide in the field.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Submit solution for metal assay and resin for loading assay.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Plot solution metal, solution cyanide and resin loading down each train.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Compare the measured profile against the design adsorption isotherm and report the deviation.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Check the bead size distribution on the resin samples as an attrition indicator.</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041-TK-007/008</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Metal adsorption train</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051-TK-009/010</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Cyanide adsorption train</w:t>
            </w:r>
          </w:p>
        </w:tc>
      </w:tr>
    </w:tbl>
    <w:p>
      <w:pPr>
        <w:spacing w:after="60" w:before="0" w:line="245"/>
      </w:pPr>
    </w:p>
    <w:p>
      <w:pPr>
        <w:spacing w:after="60" w:before="0" w:line="245"/>
      </w:pPr>
      <w:r>
        <w:rPr>
          <w:rFonts w:ascii="Calibri" w:cs="Calibri" w:eastAsia="Calibri" w:hAnsi="Calibri"/>
          <w:sz w:val="17"/>
          <w:szCs w:val="17"/>
        </w:rPr>
        <w:t xml:space="preserve">Frequency: Quarterly, and after any change to resin inventory or transfer rate.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steady state and hold the circuit through the survey.</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Sample every adsorption tank in sequence in one pass.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Take resin concentration and a resin sample from each tank on the same pass.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Determine pH and free cyanide in the field.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Submit solution for metal assay and resin for loading assay.</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Plot solution metal, solution cyanide and resin loading down each train.</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Compare the measured profile against the design adsorption isotherm and report the deviation.</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Check the bead size distribution on the resin samples as an attrition indicator.</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containers pre-labelled by tank</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Free cyanide titration kit</w:t>
      </w:r>
    </w:p>
    <w:p>
      <w:pPr>
        <w:pStyle w:val="ListParagraph"/>
        <w:numPr>
          <w:ilvl w:val="0"/>
          <w:numId w:val="1"/>
        </w:numPr>
        <w:spacing w:after="60" w:line="245"/>
      </w:pPr>
      <w:r>
        <w:rPr>
          <w:rFonts w:ascii="Calibri" w:cs="Calibri" w:eastAsia="Calibri" w:hAnsi="Calibri"/>
          <w:sz w:val="17"/>
          <w:szCs w:val="17"/>
        </w:rPr>
        <w:t xml:space="preserve">0.9 mm sieve</w:t>
      </w:r>
    </w:p>
    <w:p>
      <w:pPr>
        <w:pStyle w:val="ListParagraph"/>
        <w:numPr>
          <w:ilvl w:val="0"/>
          <w:numId w:val="1"/>
        </w:numPr>
        <w:spacing w:after="60" w:line="245"/>
      </w:pPr>
      <w:r>
        <w:rPr>
          <w:rFonts w:ascii="Calibri" w:cs="Calibri" w:eastAsia="Calibri" w:hAnsi="Calibri"/>
          <w:sz w:val="17"/>
          <w:szCs w:val="17"/>
        </w:rPr>
        <w:t xml:space="preserve">Measuring glass</w:t>
      </w:r>
    </w:p>
    <w:p>
      <w:pPr>
        <w:pStyle w:val="ListParagraph"/>
        <w:numPr>
          <w:ilvl w:val="0"/>
          <w:numId w:val="1"/>
        </w:numPr>
        <w:spacing w:after="60" w:line="245"/>
      </w:pPr>
      <w:r>
        <w:rPr>
          <w:rFonts w:ascii="Calibri" w:cs="Calibri" w:eastAsia="Calibri" w:hAnsi="Calibri"/>
          <w:sz w:val="17"/>
          <w:szCs w:val="17"/>
        </w:rPr>
        <w:t xml:space="preserve">Filter press and filter paper</w:t>
      </w:r>
    </w:p>
    <w:p>
      <w:pPr>
        <w:pStyle w:val="ListParagraph"/>
        <w:numPr>
          <w:ilvl w:val="0"/>
          <w:numId w:val="1"/>
        </w:numPr>
        <w:spacing w:after="60" w:line="245"/>
      </w:pPr>
      <w:r>
        <w:rPr>
          <w:rFonts w:ascii="Calibri" w:cs="Calibri" w:eastAsia="Calibri" w:hAnsi="Calibri"/>
          <w:sz w:val="17"/>
          <w:szCs w:val="17"/>
        </w:rPr>
        <w:t xml:space="preserve">Field data sheets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SWI-PRO-MET-203-006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SWI-PRO-MET-203-006.</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4034-PR-PRO-002 Sampling Protocol, ReCYN Adsorption table</w:t>
      </w:r>
    </w:p>
    <w:p>
      <w:pPr>
        <w:pStyle w:val="ListParagraph"/>
        <w:numPr>
          <w:ilvl w:val="0"/>
          <w:numId w:val="1"/>
        </w:numPr>
        <w:spacing w:after="60" w:line="245"/>
      </w:pPr>
      <w:r>
        <w:rPr>
          <w:rFonts w:ascii="Calibri" w:cs="Calibri" w:eastAsia="Calibri" w:hAnsi="Calibri"/>
          <w:sz w:val="17"/>
          <w:szCs w:val="17"/>
        </w:rPr>
        <w:t xml:space="preserve">KBK-MIR-MP-PRO-MET-SOP-0049 resin tank sampling and profile and SOP-0058 resin PSD, both received 11 Aug 2026</w:t>
      </w:r>
    </w:p>
    <w:p>
      <w:pPr>
        <w:pStyle w:val="ListParagraph"/>
        <w:numPr>
          <w:ilvl w:val="0"/>
          <w:numId w:val="1"/>
        </w:numPr>
        <w:spacing w:after="60" w:line="245"/>
      </w:pPr>
      <w:r>
        <w:rPr>
          <w:rFonts w:ascii="Calibri" w:cs="Calibri" w:eastAsia="Calibri" w:hAnsi="Calibri"/>
          <w:sz w:val="17"/>
          <w:szCs w:val="17"/>
        </w:rPr>
        <w:t xml:space="preserve">KBK SOP-PROC-CNREC-01 Resin transfer between adsorption tanks, received 11 Aug 2026</w:t>
      </w:r>
    </w:p>
    <w:p>
      <w:pPr>
        <w:pStyle w:val="ListParagraph"/>
        <w:numPr>
          <w:ilvl w:val="0"/>
          <w:numId w:val="1"/>
        </w:numPr>
        <w:spacing w:after="60" w:line="245"/>
      </w:pPr>
      <w:r>
        <w:rPr>
          <w:rFonts w:ascii="Calibri" w:cs="Calibri" w:eastAsia="Calibri" w:hAnsi="Calibri"/>
          <w:sz w:val="17"/>
          <w:szCs w:val="17"/>
        </w:rPr>
        <w:t xml:space="preserve">HM-PRC-V01-PRO006 and PRO007</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JSEA-PRO-MET-203-006</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JSEA-PRO-MET-203-006  ·  Adsorption Profile Survey - Metal and Cyanide Resin Circuits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