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Thickener Performance Survey - Flux, Bed Level and Flocculant Response</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JSEA-PRO-MET-203-007</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SWI-PRO-MET-203-007  Thickener Performance Survey - Flux, Bed Level and Flocculant Response</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HM-PRC-VXX-PRO207  Plant Surveys and Circuit Performance Assessment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203  Plant Surveys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JSEA-PRO-MET-203-007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thickener performance survey - flux, bed level and flocculant response in 203  Plant Surveys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Measure what the thickeners are actually doing - solids flux, bed level behaviour, underflow density and how they respond to flocculant.</w:t>
      </w:r>
    </w:p>
    <w:p>
      <w:pPr>
        <w:pStyle w:val="ListParagraph"/>
        <w:numPr>
          <w:ilvl w:val="0"/>
          <w:numId w:val="1"/>
        </w:numPr>
        <w:spacing w:after="60" w:line="245"/>
      </w:pPr>
      <w:r>
        <w:rPr>
          <w:rFonts w:ascii="Calibri" w:cs="Calibri" w:eastAsia="Calibri" w:hAnsi="Calibri"/>
          <w:sz w:val="17"/>
          <w:szCs w:val="17"/>
        </w:rPr>
        <w:t xml:space="preserve">A thickener that is not making underflow density costs water, and one that is losing solids to overflow costs metal and puts solids into process water.</w:t>
      </w:r>
    </w:p>
    <w:p>
      <w:pPr>
        <w:spacing w:after="60" w:before="0" w:line="245"/>
      </w:pPr>
      <w:r>
        <w:rPr>
          <w:rFonts w:ascii="Calibri" w:cs="Calibri" w:eastAsia="Calibri" w:hAnsi="Calibri"/>
          <w:sz w:val="17"/>
          <w:szCs w:val="17"/>
        </w:rPr>
        <w:t xml:space="preserve">It is read with work instruction SWI-PRO-MET-203-007, which gives the step-by-step method, and with HM-PRC-VXX-PRO207 Plant Surveys and Circuit Performance Assessment,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Record the thickener at steady state - feed rate, feed density, bed level, rake torque, underflow rate and flocculant dose.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Splash of cyanide-bearing slurry or solution to skin or eyes</w:t>
            </w:r>
          </w:p>
          <w:p>
            <w:pPr>
              <w:spacing w:after="30" w:line="235"/>
            </w:pPr>
            <w:r>
              <w:rPr>
                <w:rFonts w:ascii="Calibri" w:cs="Calibri" w:eastAsia="Calibri" w:hAnsi="Calibri"/>
                <w:sz w:val="15"/>
                <w:szCs w:val="15"/>
              </w:rPr>
              <w:t xml:space="preserve">Fall from a tank top, launder platform, column platform or access ladder</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30" w:line="235"/>
            </w:pPr>
            <w:r>
              <w:rPr>
                <w:rFonts w:ascii="Calibri" w:cs="Calibri" w:eastAsia="Calibri" w:hAnsi="Calibri"/>
                <w:sz w:val="15"/>
                <w:szCs w:val="15"/>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Sample feed, overflow and underflow simultaneously.</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Determine feed and underflow density on the Marcy scale and overflow suspended solids.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Calculate solids flux and compare against the design flux from the Roytec control philosophy.</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Run a settling test on the feed at the current flocculant dose and at two other doses, and record the settling rate for each.</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Vary the flocculant dose within the agreed range and record the overflow clarity response after each change has settled.</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Report the optimum dose, the achieved flux and any deviation from the vendor design basis.</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051-TH-006</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Tails thickener</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071</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Copper precipitate thickener</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106</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Flocculant plants - Model 01 and Model 05</w:t>
            </w:r>
          </w:p>
        </w:tc>
      </w:tr>
    </w:tbl>
    <w:p>
      <w:pPr>
        <w:spacing w:after="60" w:before="0" w:line="245"/>
      </w:pPr>
    </w:p>
    <w:p>
      <w:pPr>
        <w:spacing w:after="60" w:before="0" w:line="245"/>
      </w:pPr>
      <w:r>
        <w:rPr>
          <w:rFonts w:ascii="Calibri" w:cs="Calibri" w:eastAsia="Calibri" w:hAnsi="Calibri"/>
          <w:sz w:val="17"/>
          <w:szCs w:val="17"/>
        </w:rPr>
        <w:t xml:space="preserve">Frequency: Quarterly, and whenever overflow clarity or underflow density moves.</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Record the thickener at steady state - feed rate, feed density, bed level, rake torque, underflow rate and flocculant dose.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Sample feed, overflow and underflow simultaneously.</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Determine feed and underflow density on the Marcy scale and overflow suspended solids.</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Calculate solids flux and compare against the design flux from the Roytec control philosophy.</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Run a settling test on the feed at the current flocculant dose and at two other doses, and record the settling rate for each.</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Vary the flocculant dose within the agreed range and record the overflow clarity response after each change has settled.</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Report the optimum dose, the achieved flux and any deviation from the vendor design basis.</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Sampling buckets</w:t>
      </w:r>
    </w:p>
    <w:p>
      <w:pPr>
        <w:pStyle w:val="ListParagraph"/>
        <w:numPr>
          <w:ilvl w:val="0"/>
          <w:numId w:val="1"/>
        </w:numPr>
        <w:spacing w:after="60" w:line="245"/>
      </w:pPr>
      <w:r>
        <w:rPr>
          <w:rFonts w:ascii="Calibri" w:cs="Calibri" w:eastAsia="Calibri" w:hAnsi="Calibri"/>
          <w:sz w:val="17"/>
          <w:szCs w:val="17"/>
        </w:rPr>
        <w:t xml:space="preserve">Marcy scale</w:t>
      </w:r>
    </w:p>
    <w:p>
      <w:pPr>
        <w:pStyle w:val="ListParagraph"/>
        <w:numPr>
          <w:ilvl w:val="0"/>
          <w:numId w:val="1"/>
        </w:numPr>
        <w:spacing w:after="60" w:line="245"/>
      </w:pPr>
      <w:r>
        <w:rPr>
          <w:rFonts w:ascii="Calibri" w:cs="Calibri" w:eastAsia="Calibri" w:hAnsi="Calibri"/>
          <w:sz w:val="17"/>
          <w:szCs w:val="17"/>
        </w:rPr>
        <w:t xml:space="preserve">TSS meter or filter set</w:t>
      </w:r>
    </w:p>
    <w:p>
      <w:pPr>
        <w:pStyle w:val="ListParagraph"/>
        <w:numPr>
          <w:ilvl w:val="0"/>
          <w:numId w:val="1"/>
        </w:numPr>
        <w:spacing w:after="60" w:line="245"/>
      </w:pPr>
      <w:r>
        <w:rPr>
          <w:rFonts w:ascii="Calibri" w:cs="Calibri" w:eastAsia="Calibri" w:hAnsi="Calibri"/>
          <w:sz w:val="17"/>
          <w:szCs w:val="17"/>
        </w:rPr>
        <w:t xml:space="preserve">Settling cylinders</w:t>
      </w:r>
    </w:p>
    <w:p>
      <w:pPr>
        <w:pStyle w:val="ListParagraph"/>
        <w:numPr>
          <w:ilvl w:val="0"/>
          <w:numId w:val="1"/>
        </w:numPr>
        <w:spacing w:after="60" w:line="245"/>
      </w:pPr>
      <w:r>
        <w:rPr>
          <w:rFonts w:ascii="Calibri" w:cs="Calibri" w:eastAsia="Calibri" w:hAnsi="Calibri"/>
          <w:sz w:val="17"/>
          <w:szCs w:val="17"/>
        </w:rPr>
        <w:t xml:space="preserve">Stopwatch</w:t>
      </w:r>
    </w:p>
    <w:p>
      <w:pPr>
        <w:pStyle w:val="ListParagraph"/>
        <w:numPr>
          <w:ilvl w:val="0"/>
          <w:numId w:val="1"/>
        </w:numPr>
        <w:spacing w:after="60" w:line="245"/>
      </w:pPr>
      <w:r>
        <w:rPr>
          <w:rFonts w:ascii="Calibri" w:cs="Calibri" w:eastAsia="Calibri" w:hAnsi="Calibri"/>
          <w:sz w:val="17"/>
          <w:szCs w:val="17"/>
        </w:rPr>
        <w:t xml:space="preserve">Field data sheets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SWI-PRO-MET-203-007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SWI-PRO-MET-203-007.</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Tail Thickener and Cu Thickener Field Operator Procedures</w:t>
      </w:r>
    </w:p>
    <w:p>
      <w:pPr>
        <w:pStyle w:val="ListParagraph"/>
        <w:numPr>
          <w:ilvl w:val="0"/>
          <w:numId w:val="1"/>
        </w:numPr>
        <w:spacing w:after="60" w:line="245"/>
      </w:pPr>
      <w:r>
        <w:rPr>
          <w:rFonts w:ascii="Calibri" w:cs="Calibri" w:eastAsia="Calibri" w:hAnsi="Calibri"/>
          <w:sz w:val="17"/>
          <w:szCs w:val="17"/>
        </w:rPr>
        <w:t xml:space="preserve">4034-018A-VE-007 Roytec tails thickener control philosophy and 4034-018A-VE-045 IOM, both received 11 Aug 2026 - rake torque, bed level and underflow density limits</w:t>
      </w:r>
    </w:p>
    <w:p>
      <w:pPr>
        <w:pStyle w:val="ListParagraph"/>
        <w:numPr>
          <w:ilvl w:val="0"/>
          <w:numId w:val="1"/>
        </w:numPr>
        <w:spacing w:after="60" w:line="245"/>
      </w:pPr>
      <w:r>
        <w:rPr>
          <w:rFonts w:ascii="Calibri" w:cs="Calibri" w:eastAsia="Calibri" w:hAnsi="Calibri"/>
          <w:sz w:val="17"/>
          <w:szCs w:val="17"/>
        </w:rPr>
        <w:t xml:space="preserve">4034-019-VE-006 Model 01 and 4034-019B-VE-007 Model 05 Roytec flocculant control philosophies, received 11 Aug 2026</w:t>
      </w:r>
    </w:p>
    <w:p>
      <w:pPr>
        <w:pStyle w:val="ListParagraph"/>
        <w:numPr>
          <w:ilvl w:val="0"/>
          <w:numId w:val="1"/>
        </w:numPr>
        <w:spacing w:after="60" w:line="245"/>
      </w:pPr>
      <w:r>
        <w:rPr>
          <w:rFonts w:ascii="Calibri" w:cs="Calibri" w:eastAsia="Calibri" w:hAnsi="Calibri"/>
          <w:sz w:val="17"/>
          <w:szCs w:val="17"/>
        </w:rPr>
        <w:t xml:space="preserve">KBK-MIR-MP-PRO-OPE-SOP-0014 Settling Test</w:t>
      </w:r>
    </w:p>
    <w:p>
      <w:pPr>
        <w:pStyle w:val="ListParagraph"/>
        <w:numPr>
          <w:ilvl w:val="0"/>
          <w:numId w:val="1"/>
        </w:numPr>
        <w:spacing w:after="60" w:line="245"/>
      </w:pPr>
      <w:r>
        <w:rPr>
          <w:rFonts w:ascii="Calibri" w:cs="Calibri" w:eastAsia="Calibri" w:hAnsi="Calibri"/>
          <w:sz w:val="17"/>
          <w:szCs w:val="17"/>
        </w:rPr>
        <w:t xml:space="preserve">HM-PRC-V01-PRO008 and PRO016</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JSEA-PRO-MET-203-007</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JSEA-PRO-MET-203-007  ·  Thickener Performance Survey - Flux, Bed Level and Flocculant Response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