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Elution and Electrowinning Batch Performance Assessment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SWI-PRO-MET-203-008  Elution and Electrowinning Batch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JSEA-PRO-MET-203-008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elution and electrowinning batch performance assessment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Assess how well each elution batch stripped, and how well electrowinning recovered what was stripped.</w:t>
      </w:r>
    </w:p>
    <w:p>
      <w:pPr>
        <w:pStyle w:val="ListParagraph"/>
        <w:numPr>
          <w:ilvl w:val="0"/>
          <w:numId w:val="1"/>
        </w:numPr>
        <w:spacing w:after="60" w:line="245"/>
      </w:pPr>
      <w:r>
        <w:rPr>
          <w:rFonts w:ascii="Calibri" w:cs="Calibri" w:eastAsia="Calibri" w:hAnsi="Calibri"/>
          <w:sz w:val="17"/>
          <w:szCs w:val="17"/>
        </w:rPr>
        <w:t xml:space="preserve">Barren carbon loading and barren electrolyte are the two numbers that say whether the gold room is working.</w:t>
      </w:r>
    </w:p>
    <w:p>
      <w:pPr>
        <w:spacing w:after="60" w:before="0" w:line="245"/>
      </w:pPr>
      <w:r>
        <w:rPr>
          <w:rFonts w:ascii="Calibri" w:cs="Calibri" w:eastAsia="Calibri" w:hAnsi="Calibri"/>
          <w:sz w:val="17"/>
          <w:szCs w:val="17"/>
        </w:rPr>
        <w:t xml:space="preserve">It is read with work instruction SWI-PRO-MET-203-008,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Take the batch record - strip temperature, flow, caustic and cyanide strength, cycle time.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Take loaded carbon and barren carbon assays for the batch.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Take eluate assay through the strip, and electrowinning feed and barren electrolyte assays.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Mercury vapour in the gold room, elution and retort areas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Area ventilation confirmed running before entry. Mercury vapour monitoring where the site procedure requires it. No eating, drinking or smoking. Hands washed before leaving the area.</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Calculate strip efficiency from loaded and barren carbon loading.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Calculate electrowinning efficiency from feed and barren electrolyte.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Mercury vapour in the gold room, elution and retort areas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Area ventilation confirmed running before entry. Mercury vapour monitoring where the site procedure requires it. No eating, drinking or smoking. Hands washed before leaving the area.</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Compare against the design strip conditions in the Applied Heat manual and against the previous batches.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Where strip efficiency is falling, check the strip conditions before blaming the carbon - temperature and eluant strength are the usual causes.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the batch performance with the monthly close.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Face shield</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061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Elution circuit - loaded and barren carbon, eluate</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062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Electrowinning - feed and barren</w:t>
            </w:r>
          </w:p>
        </w:tc>
      </w:tr>
    </w:tbl>
    <w:p>
      <w:pPr>
        <w:spacing w:after="60" w:before="0" w:line="245"/>
      </w:pPr>
    </w:p>
    <w:p>
      <w:pPr>
        <w:spacing w:after="60" w:before="0" w:line="245"/>
      </w:pPr>
      <w:r>
        <w:rPr>
          <w:rFonts w:ascii="Calibri" w:cs="Calibri" w:eastAsia="Calibri" w:hAnsi="Calibri"/>
          <w:sz w:val="17"/>
          <w:szCs w:val="17"/>
        </w:rPr>
        <w:t xml:space="preserve">Frequency: Every batch, assessed and trended monthly.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the batch record - strip temperature, flow, caustic and cyanide strength, cycle time.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loaded carbon and barren carbon assays for the batch.</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eluate assay through the strip, and electrowinning feed and barren electrolyte assays.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Calculate strip efficiency from loaded and barren carbon loading.</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Calculate electrowinning efficiency from feed and barren electrolyte.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Compare against the design strip conditions in the Applied Heat manual and against the previous batches.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Where strip efficiency is falling, check the strip conditions before blaming the carbon - temperature and eluant strength are the usual causes.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the batch performance with the monthly close.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bottles, heat resistant</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ListParagraph"/>
        <w:numPr>
          <w:ilvl w:val="0"/>
          <w:numId w:val="1"/>
        </w:numPr>
        <w:spacing w:after="60" w:line="245"/>
      </w:pPr>
      <w:r>
        <w:rPr>
          <w:rFonts w:ascii="Calibri" w:cs="Calibri" w:eastAsia="Calibri" w:hAnsi="Calibri"/>
          <w:sz w:val="17"/>
          <w:szCs w:val="17"/>
        </w:rPr>
        <w:t xml:space="preserve">Batch records from the control system</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SWI-PRO-MET-203-008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SWI-PRO-MET-203-008.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4034-013-VE-028 Applied Heat Thermomat 2300 O&amp;M manual, received 11 Aug 2026 - strip temperatures and circuit design conditions</w:t>
      </w:r>
    </w:p>
    <w:p>
      <w:pPr>
        <w:pStyle w:val="ListParagraph"/>
        <w:numPr>
          <w:ilvl w:val="0"/>
          <w:numId w:val="1"/>
        </w:numPr>
        <w:spacing w:after="60" w:line="245"/>
      </w:pPr>
      <w:r>
        <w:rPr>
          <w:rFonts w:ascii="Calibri" w:cs="Calibri" w:eastAsia="Calibri" w:hAnsi="Calibri"/>
          <w:sz w:val="17"/>
          <w:szCs w:val="17"/>
        </w:rPr>
        <w:t xml:space="preserve">4034-014-VE-004 and -019 Stantil carbon regeneration kiln control philosophy and IOM, received 11 Aug 2026</w:t>
      </w:r>
    </w:p>
    <w:p>
      <w:pPr>
        <w:pStyle w:val="ListParagraph"/>
        <w:numPr>
          <w:ilvl w:val="0"/>
          <w:numId w:val="1"/>
        </w:numPr>
        <w:spacing w:after="60" w:line="245"/>
      </w:pPr>
      <w:r>
        <w:rPr>
          <w:rFonts w:ascii="Calibri" w:cs="Calibri" w:eastAsia="Calibri" w:hAnsi="Calibri"/>
          <w:sz w:val="17"/>
          <w:szCs w:val="17"/>
        </w:rPr>
        <w:t xml:space="preserve">HM-PRC-V01-PRO011 Gold Elution and PRO013 Gold Electrowinning</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JSEA-PRO-MET-203-008  ·  Elution and Electrowinning Batch Performance Assessment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