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Carbon and Resin Loss Quantification Survey</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JSEA-PRO-MET-203-011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SWI-PRO-MET-203-011  Carbon and Resin Loss Quantification Survey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JSEA-PRO-MET-203-011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carbon and resin loss quantification survey in 203  Plant Surveys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Account for total carbon and resin loss across the whole circuit over a period, and locate where it is going.</w:t>
      </w:r>
    </w:p>
    <w:p>
      <w:pPr>
        <w:pStyle w:val="ListParagraph"/>
        <w:numPr>
          <w:ilvl w:val="0"/>
          <w:numId w:val="1"/>
        </w:numPr>
        <w:spacing w:after="60" w:line="245"/>
      </w:pPr>
      <w:r>
        <w:rPr>
          <w:rFonts w:ascii="Calibri" w:cs="Calibri" w:eastAsia="Calibri" w:hAnsi="Calibri"/>
          <w:sz w:val="17"/>
          <w:szCs w:val="17"/>
        </w:rPr>
        <w:t xml:space="preserve">The screen check finds losses at screens. This survey finds the rest - launders, spillage, transfers, attrition and the tailings line.</w:t>
      </w:r>
    </w:p>
    <w:p>
      <w:pPr>
        <w:spacing w:after="60" w:before="0" w:line="245"/>
      </w:pPr>
      <w:r>
        <w:rPr>
          <w:rFonts w:ascii="Calibri" w:cs="Calibri" w:eastAsia="Calibri" w:hAnsi="Calibri"/>
          <w:sz w:val="17"/>
          <w:szCs w:val="17"/>
        </w:rPr>
        <w:t xml:space="preserve">It is read with work instruction SWI-PRO-MET-203-011, which gives the step-by-step method, and with HM-PRC-VXX-PRO207 Plant Surveys and Circuit Performance Assessment,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Take the inventory reconciliation for the period as the starting point - it says how much is missing.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Sample every stream leaving the circuit that could carry carbon or resin: screen undersizes, thickener overflow and underflow, the tailings line, and any launder or sump overflow.</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Recover, dry and weigh carbon and resin from each stream.</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Estimate attrition from the bead and particle size distribution trend rather than from a single measurement.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Add the located losses and compare against the reconciliation gap.</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Where the located loss does not account for the gap, look for an unrecorded movement or a spillage route before concluding it is attrition.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by location so the fix can be targeted, and update RA-01 and RA-02.</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 / 041 / 051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Adsorption and CIL circuits</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Tails thickener and tailings line</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Sumps and launders</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Spillage recovery points</w:t>
            </w:r>
          </w:p>
        </w:tc>
      </w:tr>
    </w:tbl>
    <w:p>
      <w:pPr>
        <w:spacing w:after="60" w:before="0" w:line="245"/>
      </w:pPr>
    </w:p>
    <w:p>
      <w:pPr>
        <w:spacing w:after="60" w:before="0" w:line="245"/>
      </w:pPr>
      <w:r>
        <w:rPr>
          <w:rFonts w:ascii="Calibri" w:cs="Calibri" w:eastAsia="Calibri" w:hAnsi="Calibri"/>
          <w:sz w:val="17"/>
          <w:szCs w:val="17"/>
        </w:rPr>
        <w:t xml:space="preserve">Frequency: Quarterly, and whenever the inventory reconciliation shows an unexplained loss.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Take the inventory reconciliation for the period as the starting point - it says how much is missing.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Sample every stream leaving the circuit that could carry carbon or resin: screen undersizes, thickener overflow and underflow, the tailings line, and any launder or sump overflow.</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Recover, dry and weigh carbon and resin from each stream.</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Estimate attrition from the bead and particle size distribution trend rather than from a single measurement.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Add the located losses and compare against the reconciliation gap.</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Where the located loss does not account for the gap, look for an unrecorded movement or a spillage route before concluding it is attrition.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by location so the fix can be targeted, and update RA-01 and RA-02.</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containers</w:t>
      </w:r>
    </w:p>
    <w:p>
      <w:pPr>
        <w:pStyle w:val="ListParagraph"/>
        <w:numPr>
          <w:ilvl w:val="0"/>
          <w:numId w:val="1"/>
        </w:numPr>
        <w:spacing w:after="60" w:line="245"/>
      </w:pPr>
      <w:r>
        <w:rPr>
          <w:rFonts w:ascii="Calibri" w:cs="Calibri" w:eastAsia="Calibri" w:hAnsi="Calibri"/>
          <w:sz w:val="17"/>
          <w:szCs w:val="17"/>
        </w:rPr>
        <w:t xml:space="preserve">Sieves 1 mm and 0.9 mm</w:t>
      </w:r>
    </w:p>
    <w:p>
      <w:pPr>
        <w:pStyle w:val="ListParagraph"/>
        <w:numPr>
          <w:ilvl w:val="0"/>
          <w:numId w:val="1"/>
        </w:numPr>
        <w:spacing w:after="60" w:line="245"/>
      </w:pPr>
      <w:r>
        <w:rPr>
          <w:rFonts w:ascii="Calibri" w:cs="Calibri" w:eastAsia="Calibri" w:hAnsi="Calibri"/>
          <w:sz w:val="17"/>
          <w:szCs w:val="17"/>
        </w:rPr>
        <w:t xml:space="preserve">Drying tray and balance</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SWI-PRO-MET-203-011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SWI-PRO-MET-203-011.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RA-01 Resin Loss Register and RA-02 Carbon Contamination Register Rev A, and their study reports</w:t>
      </w:r>
    </w:p>
    <w:p>
      <w:pPr>
        <w:pStyle w:val="ListParagraph"/>
        <w:numPr>
          <w:ilvl w:val="0"/>
          <w:numId w:val="1"/>
        </w:numPr>
        <w:spacing w:after="60" w:line="245"/>
      </w:pPr>
      <w:r>
        <w:rPr>
          <w:rFonts w:ascii="Calibri" w:cs="Calibri" w:eastAsia="Calibri" w:hAnsi="Calibri"/>
          <w:sz w:val="17"/>
          <w:szCs w:val="17"/>
        </w:rPr>
        <w:t xml:space="preserve">MM-4034-033-RES Resin Line Schedule (268 lines)</w:t>
      </w:r>
    </w:p>
    <w:p>
      <w:pPr>
        <w:pStyle w:val="ListParagraph"/>
        <w:numPr>
          <w:ilvl w:val="0"/>
          <w:numId w:val="1"/>
        </w:numPr>
        <w:spacing w:after="60" w:line="245"/>
      </w:pPr>
      <w:r>
        <w:rPr>
          <w:rFonts w:ascii="Calibri" w:cs="Calibri" w:eastAsia="Calibri" w:hAnsi="Calibri"/>
          <w:sz w:val="17"/>
          <w:szCs w:val="17"/>
        </w:rPr>
        <w:t xml:space="preserve">KBK-MIR-MP-PRO-MET-SOP-0058 Distribusi Ukuran Partikel Resin,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JSEA-PRO-MET-203-011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JSEA-PRO-MET-203-011  ·  Carbon and Resin Loss Quantification Survey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