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Oxygen Utilisation and Sparger Performance Survey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SWI-PRO-MET-203-012  Oxygen Utilisation and Sparger Performance Survey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oxygen utilisation and sparger performance survey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how much of the oxygen injected into the leach is actually being used, and whether the spargers are delivering it.</w:t>
      </w:r>
    </w:p>
    <w:p>
      <w:pPr>
        <w:pStyle w:val="ListParagraph"/>
        <w:numPr>
          <w:ilvl w:val="0"/>
          <w:numId w:val="1"/>
        </w:numPr>
        <w:spacing w:after="60" w:line="245"/>
      </w:pPr>
      <w:r>
        <w:rPr>
          <w:rFonts w:ascii="Calibri" w:cs="Calibri" w:eastAsia="Calibri" w:hAnsi="Calibri"/>
          <w:sz w:val="17"/>
          <w:szCs w:val="17"/>
        </w:rPr>
        <w:t xml:space="preserve">Oxygen is a direct input to gold dissolution. A blocked or worn sparger costs recovery quietly.</w:t>
      </w:r>
    </w:p>
    <w:p>
      <w:pPr>
        <w:spacing w:after="60" w:before="0" w:line="245"/>
      </w:pPr>
      <w:r>
        <w:rPr>
          <w:rFonts w:ascii="Calibri" w:cs="Calibri" w:eastAsia="Calibri" w:hAnsi="Calibri"/>
          <w:sz w:val="17"/>
          <w:szCs w:val="17"/>
        </w:rPr>
        <w:t xml:space="preserve">It is read with work instruction SWI-PRO-MET-203-012,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the oxygen supply pressure and flow to each sparger from the control system.</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Measure dissolved oxygen at several depths and positions in the tank, not at one point. A single reading at the launder does not describe the tank.</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the DO reading immediately on sampling - atmospheric exchange starts as soon as the sample is drawn.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Calculate oxygen utilisation from the injected flow and the measured dissolved oxygen against the consumption implied by the leach rate.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the sparger operating pressure against the Hypersparge instructions. A sparger operating below its design pressure is not atomising.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Inspect the sparger condition against the vendor criteria where access allows.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utilisation, the DO profile and any sparger due for cleaning or replacement.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031-TK-001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Leach tank - oxygen spargers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Hypersparge</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Supersonic gas spargers DN15 and DN25</w:t>
            </w:r>
          </w:p>
        </w:tc>
      </w:tr>
    </w:tbl>
    <w:p>
      <w:pPr>
        <w:spacing w:after="60" w:before="0" w:line="245"/>
      </w:pPr>
    </w:p>
    <w:p>
      <w:pPr>
        <w:spacing w:after="60" w:before="0" w:line="245"/>
      </w:pPr>
      <w:r>
        <w:rPr>
          <w:rFonts w:ascii="Calibri" w:cs="Calibri" w:eastAsia="Calibri" w:hAnsi="Calibri"/>
          <w:sz w:val="17"/>
          <w:szCs w:val="17"/>
        </w:rPr>
        <w:t xml:space="preserve">Frequency: Quarterly, and after any sparger clean or replacement.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oxygen supply pressure and flow to each sparger from the control system.</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Measure dissolved oxygen at several depths and positions in the tank, not at one point. A single reading at the launder does not describe the tank.</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DO reading immediately on sampling - atmospheric exchange starts as soon as the sample is drawn.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Calculate oxygen utilisation from the injected flow and the measured dissolved oxygen against the consumption implied by the leach rate.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the sparger operating pressure against the Hypersparge instructions. A sparger operating below its design pressure is not atomising.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Inspect the sparger condition against the vendor criteria where access allows.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utilisation, the DO profile and any sparger due for cleaning or replacement.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DO meter, calibrated</w:t>
      </w:r>
    </w:p>
    <w:p>
      <w:pPr>
        <w:pStyle w:val="ListParagraph"/>
        <w:numPr>
          <w:ilvl w:val="0"/>
          <w:numId w:val="1"/>
        </w:numPr>
        <w:spacing w:after="60" w:line="245"/>
      </w:pPr>
      <w:r>
        <w:rPr>
          <w:rFonts w:ascii="Calibri" w:cs="Calibri" w:eastAsia="Calibri" w:hAnsi="Calibri"/>
          <w:sz w:val="17"/>
          <w:szCs w:val="17"/>
        </w:rPr>
        <w:t xml:space="preserve">Sample containers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ListParagraph"/>
        <w:numPr>
          <w:ilvl w:val="0"/>
          <w:numId w:val="1"/>
        </w:numPr>
        <w:spacing w:after="60" w:line="245"/>
      </w:pPr>
      <w:r>
        <w:rPr>
          <w:rFonts w:ascii="Calibri" w:cs="Calibri" w:eastAsia="Calibri" w:hAnsi="Calibri"/>
          <w:sz w:val="17"/>
          <w:szCs w:val="17"/>
        </w:rPr>
        <w:t xml:space="preserve">Oxygen flow readings from the control system</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4034-044-VE-003 Rev B Glencore Hypersparge supersonic gas sparger installation and operating instructions, received 11 Aug 2026</w:t>
      </w:r>
    </w:p>
    <w:p>
      <w:pPr>
        <w:pStyle w:val="ListParagraph"/>
        <w:numPr>
          <w:ilvl w:val="0"/>
          <w:numId w:val="1"/>
        </w:numPr>
        <w:spacing w:after="60" w:line="245"/>
      </w:pPr>
      <w:r>
        <w:rPr>
          <w:rFonts w:ascii="Calibri" w:cs="Calibri" w:eastAsia="Calibri" w:hAnsi="Calibri"/>
          <w:sz w:val="17"/>
          <w:szCs w:val="17"/>
        </w:rPr>
        <w:t xml:space="preserve">KBK-MIR-MP-PRO-MET-SOP-0046 Pengukuran Oksigen Terlarut,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 and SWI-PRO-OPR-031-004 Oxygen Sparger Inspection and Cleaning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JSEA-PRO-MET-203-012  ·  Oxygen Utilisation and Sparger Performance Survey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