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Sample Receipt, Logging and Storage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SWI-PRO-MET-204-001  Met Lab Sample Receipt, Logging and Storage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sample receipt, logging and storage in 204  Met Lab - Physical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Receive samples into the metallurgical laboratory with a chain of custody that holds.</w:t>
      </w:r>
    </w:p>
    <w:p>
      <w:pPr>
        <w:pStyle w:val="ListParagraph"/>
        <w:numPr>
          <w:ilvl w:val="0"/>
          <w:numId w:val="1"/>
        </w:numPr>
        <w:spacing w:after="60" w:line="245"/>
      </w:pPr>
      <w:r>
        <w:rPr>
          <w:rFonts w:ascii="Calibri" w:cs="Calibri" w:eastAsia="Calibri" w:hAnsi="Calibri"/>
          <w:sz w:val="17"/>
          <w:szCs w:val="17"/>
        </w:rPr>
        <w:t xml:space="preserve">A sample that cannot be traced back to a point, a time and a shift is worthless no matter how well it is analysed.</w:t>
      </w:r>
    </w:p>
    <w:p>
      <w:pPr>
        <w:spacing w:after="60" w:before="0" w:line="245"/>
      </w:pPr>
      <w:r>
        <w:rPr>
          <w:rFonts w:ascii="Calibri" w:cs="Calibri" w:eastAsia="Calibri" w:hAnsi="Calibri"/>
          <w:sz w:val="17"/>
          <w:szCs w:val="17"/>
        </w:rPr>
        <w:t xml:space="preserve">It is read with work instruction SWI-PRO-MET-204-001, which gives the step-by-step method, and with HM-PRC-VXX-PRO208 Metallurgical Laboratory Physical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delivery against the handover sheet - every sample listed is present and every sample present is listed.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Reject and record any sample that is unlabelled, illegible, leaking or clearly the wrong material.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Log each sample against its point, date, time, shift and the analyses requested.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Assign a laboratory number and mark it on the container.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Weigh the sample where the method requires a receipt mass.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Store to the storage rack for its stream. Keep high-grade streams separate from low-grade.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Sign the handover and return a copy to the plant.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delivery from the plant.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delivery against the handover sheet - every sample listed is present and every sample present is listed.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Reject and record any sample that is unlabelled, illegible, leaking or clearly the wrong material.</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Log each sample against its point, date, time, shift and the analyses requested.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Assign a laboratory number and mark it on the container.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Weigh the sample where the method requires a receipt mass.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Store to the storage rack for its stream. Keep high-grade streams separate from low-grade.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Sign the handover and return a copy to the plant.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register or LIMS entry</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Storage racks and bins</w:t>
      </w:r>
    </w:p>
    <w:p>
      <w:pPr>
        <w:pStyle w:val="ListParagraph"/>
        <w:numPr>
          <w:ilvl w:val="0"/>
          <w:numId w:val="1"/>
        </w:numPr>
        <w:spacing w:after="60" w:line="245"/>
      </w:pPr>
      <w:r>
        <w:rPr>
          <w:rFonts w:ascii="Calibri" w:cs="Calibri" w:eastAsia="Calibri" w:hAnsi="Calibri"/>
          <w:sz w:val="17"/>
          <w:szCs w:val="17"/>
        </w:rPr>
        <w:t xml:space="preserve">Labels and marker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SWI-PRO-MET-204-001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SWI-PRO-MET-204-001.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KBK-MIR-LAB-PRE-SOP-001 Penerimaan Sampel and PRE-SOP-002 Sortir Sampel</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JSEA-PRO-MET-204-001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JSEA-PRO-MET-204-001  ·  Met Lab Sample Receipt, Logging and Storage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