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Moisture Content Determination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SWI-PRO-MET-204-006  Moisture Content Determination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JSEA-PRO-MET-204-006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moisture content determination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the moisture content of a sample by oven drying to constant mass.</w:t>
      </w:r>
    </w:p>
    <w:p>
      <w:pPr>
        <w:pStyle w:val="ListParagraph"/>
        <w:numPr>
          <w:ilvl w:val="0"/>
          <w:numId w:val="1"/>
        </w:numPr>
        <w:spacing w:after="60" w:line="245"/>
      </w:pPr>
      <w:r>
        <w:rPr>
          <w:rFonts w:ascii="Calibri" w:cs="Calibri" w:eastAsia="Calibri" w:hAnsi="Calibri"/>
          <w:sz w:val="17"/>
          <w:szCs w:val="17"/>
        </w:rPr>
        <w:t xml:space="preserve">Every assay is reported on a dry basis. A wrong moisture makes every grade wrong.</w:t>
      </w:r>
    </w:p>
    <w:p>
      <w:pPr>
        <w:spacing w:after="60" w:before="0" w:line="245"/>
      </w:pPr>
      <w:r>
        <w:rPr>
          <w:rFonts w:ascii="Calibri" w:cs="Calibri" w:eastAsia="Calibri" w:hAnsi="Calibri"/>
          <w:sz w:val="17"/>
          <w:szCs w:val="17"/>
        </w:rPr>
        <w:t xml:space="preserve">It is read with work instruction SWI-PRO-MET-204-006,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Weigh the clean dry tin and record the tare.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Add the sample, spread it evenly and weigh to get the wet mass.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Dry in the oven at the method temperature until constant mass. Constant mass means two successive weighings agree, not one weighing after a set time.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Cool in the desiccator before every weighing. A hot sample reads light.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Weigh and record the dry mass.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Calculate moisture as a percentage of the wet mass.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the oven temperature, the drying period and the balance identity.</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solid sample requiring a dry mass.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Weigh the clean dry tin and record the tare.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Add the sample, spread it evenly and weigh to get the wet mass.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Dry in the oven at the method temperature until constant mass. Constant mass means two successive weighings agree, not one weighing after a set time.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Cool in the desiccator before every weighing. A hot sample reads light.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Weigh and record the dry mass.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Calculate moisture as a percentage of the wet mass.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the oven temperature, the drying period and the balance identity.</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Drying oven</w:t>
      </w:r>
    </w:p>
    <w:p>
      <w:pPr>
        <w:pStyle w:val="ListParagraph"/>
        <w:numPr>
          <w:ilvl w:val="0"/>
          <w:numId w:val="1"/>
        </w:numPr>
        <w:spacing w:after="60" w:line="245"/>
      </w:pPr>
      <w:r>
        <w:rPr>
          <w:rFonts w:ascii="Calibri" w:cs="Calibri" w:eastAsia="Calibri" w:hAnsi="Calibri"/>
          <w:sz w:val="17"/>
          <w:szCs w:val="17"/>
        </w:rPr>
        <w:t xml:space="preserve">Moisture tins</w:t>
      </w:r>
    </w:p>
    <w:p>
      <w:pPr>
        <w:pStyle w:val="ListParagraph"/>
        <w:numPr>
          <w:ilvl w:val="0"/>
          <w:numId w:val="1"/>
        </w:numPr>
        <w:spacing w:after="60" w:line="245"/>
      </w:pPr>
      <w:r>
        <w:rPr>
          <w:rFonts w:ascii="Calibri" w:cs="Calibri" w:eastAsia="Calibri" w:hAnsi="Calibri"/>
          <w:sz w:val="17"/>
          <w:szCs w:val="17"/>
        </w:rPr>
        <w:t xml:space="preserve">Analytical balance</w:t>
      </w:r>
    </w:p>
    <w:p>
      <w:pPr>
        <w:pStyle w:val="ListParagraph"/>
        <w:numPr>
          <w:ilvl w:val="0"/>
          <w:numId w:val="1"/>
        </w:numPr>
        <w:spacing w:after="60" w:line="245"/>
      </w:pPr>
      <w:r>
        <w:rPr>
          <w:rFonts w:ascii="Calibri" w:cs="Calibri" w:eastAsia="Calibri" w:hAnsi="Calibri"/>
          <w:sz w:val="17"/>
          <w:szCs w:val="17"/>
        </w:rPr>
        <w:t xml:space="preserve">Desiccator</w:t>
      </w:r>
    </w:p>
    <w:p>
      <w:pPr>
        <w:pStyle w:val="ListParagraph"/>
        <w:numPr>
          <w:ilvl w:val="0"/>
          <w:numId w:val="1"/>
        </w:numPr>
        <w:spacing w:after="60" w:line="245"/>
      </w:pPr>
      <w:r>
        <w:rPr>
          <w:rFonts w:ascii="Calibri" w:cs="Calibri" w:eastAsia="Calibri" w:hAnsi="Calibri"/>
          <w:sz w:val="17"/>
          <w:szCs w:val="17"/>
        </w:rPr>
        <w:t xml:space="preserve">Tongs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SWI-PRO-MET-204-006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SWI-PRO-MET-204-006.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KBK-MIR-MP-PRO-OPE-SOP-0022 Moisture Content</w:t>
      </w:r>
    </w:p>
    <w:p>
      <w:pPr>
        <w:pStyle w:val="ListParagraph"/>
        <w:numPr>
          <w:ilvl w:val="0"/>
          <w:numId w:val="1"/>
        </w:numPr>
        <w:spacing w:after="60" w:line="245"/>
      </w:pPr>
      <w:r>
        <w:rPr>
          <w:rFonts w:ascii="Calibri" w:cs="Calibri" w:eastAsia="Calibri" w:hAnsi="Calibri"/>
          <w:sz w:val="17"/>
          <w:szCs w:val="17"/>
        </w:rPr>
        <w:t xml:space="preserve">KBK-MIR-MP-PRO-MET-SOP-0032 Moisture Content, Bahasa master received 11 Aug 2026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JSEA-PRO-MET-204-006  ·  Moisture Content Determination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