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Static and Dynamic Settling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SWI-PRO-MET-204-009  Static and Dynamic Settling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static and dynamic settling test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how fast solids settle, with and without flocculant, and what underflow density results.</w:t>
      </w:r>
    </w:p>
    <w:p>
      <w:pPr>
        <w:pStyle w:val="ListParagraph"/>
        <w:numPr>
          <w:ilvl w:val="0"/>
          <w:numId w:val="1"/>
        </w:numPr>
        <w:spacing w:after="60" w:line="245"/>
      </w:pPr>
      <w:r>
        <w:rPr>
          <w:rFonts w:ascii="Calibri" w:cs="Calibri" w:eastAsia="Calibri" w:hAnsi="Calibri"/>
          <w:sz w:val="17"/>
          <w:szCs w:val="17"/>
        </w:rPr>
        <w:t xml:space="preserve">This is the test behind every thickener decision - flux, flocculant dose and underflow density.</w:t>
      </w:r>
    </w:p>
    <w:p>
      <w:pPr>
        <w:spacing w:after="60" w:before="0" w:line="245"/>
      </w:pPr>
      <w:r>
        <w:rPr>
          <w:rFonts w:ascii="Calibri" w:cs="Calibri" w:eastAsia="Calibri" w:hAnsi="Calibri"/>
          <w:sz w:val="17"/>
          <w:szCs w:val="17"/>
        </w:rPr>
        <w:t xml:space="preserve">It is read with work instruction SWI-PRO-MET-204-009,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Prepare the sample at the thickener feed density and record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Make up flocculant at the plant strength. A test run on differently prepared flocculant does not transfer to the plant.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Fill the cylinder, add the flocculant dose and mix with the plunger using the standard number of strokes. Over-mixing shears the floc and understates the settling rate.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Start the clock and record the interface height at set intervals.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Continue until the interface stops moving, then record the compaction over time.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Repeat at three or more flocculant doses to find the response curve.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Calculate the settling rate and the achievable underflow density for each dose.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the optimum dose and the flux against the thickener design basis.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whenever thickener performance changes.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sample at the thickener feed density and record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Make up flocculant at the plant strength. A test run on differently prepared flocculant does not transfer to the plant.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Fill the cylinder, add the flocculant dose and mix with the plunger using the standard number of strokes. Over-mixing shears the floc and understates the settling rate.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Start the clock and record the interface height at set intervals.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Continue until the interface stops moving, then record the compaction over time.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Repeat at three or more flocculant doses to find the response curve.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the settling rate and the achievable underflow density for each dose.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optimum dose and the flux against the thickener design basis.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Settling cylinders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Flocculant solutions at known strength</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Plunger</w:t>
      </w:r>
    </w:p>
    <w:p>
      <w:pPr>
        <w:pStyle w:val="ListParagraph"/>
        <w:numPr>
          <w:ilvl w:val="0"/>
          <w:numId w:val="1"/>
        </w:numPr>
        <w:spacing w:after="60" w:line="245"/>
      </w:pPr>
      <w:r>
        <w:rPr>
          <w:rFonts w:ascii="Calibri" w:cs="Calibri" w:eastAsia="Calibri" w:hAnsi="Calibri"/>
          <w:sz w:val="17"/>
          <w:szCs w:val="17"/>
        </w:rPr>
        <w:t xml:space="preserve">Marcy scale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KBK-MIR-MP-PRO-OPE-SOP-0014 Uji Pengendapan</w:t>
      </w:r>
    </w:p>
    <w:p>
      <w:pPr>
        <w:pStyle w:val="ListParagraph"/>
        <w:numPr>
          <w:ilvl w:val="0"/>
          <w:numId w:val="1"/>
        </w:numPr>
        <w:spacing w:after="60" w:line="245"/>
      </w:pPr>
      <w:r>
        <w:rPr>
          <w:rFonts w:ascii="Calibri" w:cs="Calibri" w:eastAsia="Calibri" w:hAnsi="Calibri"/>
          <w:sz w:val="17"/>
          <w:szCs w:val="17"/>
        </w:rPr>
        <w:t xml:space="preserve">4034-018A-VE-007 Roytec tails thickener control philosophy,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JSEA-PRO-MET-204-009  ·  Static and Dynamic Settling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