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Flocculant Screening and Dose Optimisation Test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SWI-PRO-MET-204-010  Flocculant Screening and Dose Optimisation Test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JSEA-PRO-MET-204-010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flocculant screening and dose optimisation test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Compare flocculant types and doses to find the cheapest one that does the job.</w:t>
      </w:r>
    </w:p>
    <w:p>
      <w:pPr>
        <w:pStyle w:val="ListParagraph"/>
        <w:numPr>
          <w:ilvl w:val="0"/>
          <w:numId w:val="1"/>
        </w:numPr>
        <w:spacing w:after="60" w:line="245"/>
      </w:pPr>
      <w:r>
        <w:rPr>
          <w:rFonts w:ascii="Calibri" w:cs="Calibri" w:eastAsia="Calibri" w:hAnsi="Calibri"/>
          <w:sz w:val="17"/>
          <w:szCs w:val="17"/>
        </w:rPr>
        <w:t xml:space="preserve">Flocculant is a significant consumable and the wrong grade costs both money and thickener performance.</w:t>
      </w:r>
    </w:p>
    <w:p>
      <w:pPr>
        <w:spacing w:after="60" w:before="0" w:line="245"/>
      </w:pPr>
      <w:r>
        <w:rPr>
          <w:rFonts w:ascii="Calibri" w:cs="Calibri" w:eastAsia="Calibri" w:hAnsi="Calibri"/>
          <w:sz w:val="17"/>
          <w:szCs w:val="17"/>
        </w:rPr>
        <w:t xml:space="preserve">It is read with work instruction SWI-PRO-MET-204-010,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settling cylinders and a flocculant test rig are available before planning the test.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Make up each candidate flocculant at the same strength and ageing time.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Run the settling test at a fixed dose across all candidates first, to shortlist.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Run the dose response on the shortlist.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Record settling rate, overflow clarity and underflow density for each.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Cost each option per tonne treated at its optimum dose.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against the plant flocculant basis in the Roytec control philosophies.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and when a flocculant change is proposed.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settling cylinders and a flocculant test rig are available before planning the test.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Make up each candidate flocculant at the same strength and ageing time.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Run the settling test at a fixed dose across all candidates first, to shortlist.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Run the dose response on the shortlist.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Record settling rate, overflow clarity and underflow density for each.</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Cost each option per tonne treated at its optimum dose.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against the plant flocculant basis in the Roytec control philosophies.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Settling cylinders - NOT PURCHASED</w:t>
      </w:r>
    </w:p>
    <w:p>
      <w:pPr>
        <w:pStyle w:val="ListParagraph"/>
        <w:numPr>
          <w:ilvl w:val="0"/>
          <w:numId w:val="1"/>
        </w:numPr>
        <w:spacing w:after="60" w:line="245"/>
      </w:pPr>
      <w:r>
        <w:rPr>
          <w:rFonts w:ascii="Calibri" w:cs="Calibri" w:eastAsia="Calibri" w:hAnsi="Calibri"/>
          <w:sz w:val="17"/>
          <w:szCs w:val="17"/>
        </w:rPr>
        <w:t xml:space="preserve">Flocculant samples from candidate suppliers</w:t>
      </w:r>
    </w:p>
    <w:p>
      <w:pPr>
        <w:pStyle w:val="ListParagraph"/>
        <w:numPr>
          <w:ilvl w:val="0"/>
          <w:numId w:val="1"/>
        </w:numPr>
        <w:spacing w:after="60" w:line="245"/>
      </w:pPr>
      <w:r>
        <w:rPr>
          <w:rFonts w:ascii="Calibri" w:cs="Calibri" w:eastAsia="Calibri" w:hAnsi="Calibri"/>
          <w:sz w:val="17"/>
          <w:szCs w:val="17"/>
        </w:rPr>
        <w:t xml:space="preserve">Stopwatch</w:t>
      </w:r>
    </w:p>
    <w:p>
      <w:pPr>
        <w:pStyle w:val="ListParagraph"/>
        <w:numPr>
          <w:ilvl w:val="0"/>
          <w:numId w:val="1"/>
        </w:numPr>
        <w:spacing w:after="60" w:line="245"/>
      </w:pPr>
      <w:r>
        <w:rPr>
          <w:rFonts w:ascii="Calibri" w:cs="Calibri" w:eastAsia="Calibri" w:hAnsi="Calibri"/>
          <w:sz w:val="17"/>
          <w:szCs w:val="17"/>
        </w:rPr>
        <w:t xml:space="preserve">Pipettes</w:t>
      </w:r>
    </w:p>
    <w:p>
      <w:pPr>
        <w:pStyle w:val="ListParagraph"/>
        <w:numPr>
          <w:ilvl w:val="0"/>
          <w:numId w:val="1"/>
        </w:numPr>
        <w:spacing w:after="60" w:line="245"/>
      </w:pPr>
      <w:r>
        <w:rPr>
          <w:rFonts w:ascii="Calibri" w:cs="Calibri" w:eastAsia="Calibri" w:hAnsi="Calibri"/>
          <w:sz w:val="17"/>
          <w:szCs w:val="17"/>
        </w:rPr>
        <w:t xml:space="preserve">Plunger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SWI-PRO-MET-204-010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SWI-PRO-MET-204-010.</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4034-019-VE-006 Roytec Model 01 and 4034-019B-VE-007 Model 05 flocculant plant control philosophies, received 11 Aug 2026 - the plant make-up concentration and dose basis</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JSEA-PRO-MET-204-010</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JSEA-PRO-MET-204-010  ·  Flocculant Screening and Dose Optimisation Test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