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Carbon Particle Size Distribution and Fines Determination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JSEA-PRO-MET-204-014</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SWI-PRO-MET-204-014  Carbon Particle Size Distribution and Fines Determination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HM-PRC-VXX-PRO208  Metallurgical Laboratory Physical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204  Met Lab - Physical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JSEA-PRO-MET-204-014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carbon particle size distribution and fines determination in 204  Met Lab - Physical Testwork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Measure the size distribution of activated carbon and the proportion of fines.</w:t>
      </w:r>
    </w:p>
    <w:p>
      <w:pPr>
        <w:pStyle w:val="ListParagraph"/>
        <w:numPr>
          <w:ilvl w:val="0"/>
          <w:numId w:val="1"/>
        </w:numPr>
        <w:spacing w:after="60" w:line="245"/>
      </w:pPr>
      <w:r>
        <w:rPr>
          <w:rFonts w:ascii="Calibri" w:cs="Calibri" w:eastAsia="Calibri" w:hAnsi="Calibri"/>
          <w:sz w:val="17"/>
          <w:szCs w:val="17"/>
        </w:rPr>
        <w:t xml:space="preserve">Carbon fines carry gold out of the circuit. A rising fines fraction predicts a loss before the balance shows it.</w:t>
      </w:r>
    </w:p>
    <w:p>
      <w:pPr>
        <w:spacing w:after="60" w:before="0" w:line="245"/>
      </w:pPr>
      <w:r>
        <w:rPr>
          <w:rFonts w:ascii="Calibri" w:cs="Calibri" w:eastAsia="Calibri" w:hAnsi="Calibri"/>
          <w:sz w:val="17"/>
          <w:szCs w:val="17"/>
        </w:rPr>
        <w:t xml:space="preserve">It is read with work instruction SWI-PRO-MET-204-014, which gives the step-by-step method, and with HM-PRC-VXX-PRO208 Metallurgical Laboratory Physical Testwork,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Wash the carbon sample free of slurry and drain it.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Dry to constant mass at the method temperature. Do not overheat - carbon degrades.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Screen through the carbon sieve set for the standard period.</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Inhalation of or contact with solid reagent - cyanide briquettes, lime or salt</w:t>
            </w:r>
          </w:p>
          <w:p>
            <w:pPr>
              <w:spacing w:after="30" w:line="235"/>
            </w:pPr>
            <w:r>
              <w:rPr>
                <w:rFonts w:ascii="Calibri" w:cs="Calibri" w:eastAsia="Calibri" w:hAnsi="Calibri"/>
                <w:sz w:val="15"/>
                <w:szCs w:val="15"/>
              </w:rPr>
              <w:t xml:space="preserve">Hearing damage in the mill, screen, compressor and blower areas</w:t>
            </w:r>
          </w:p>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30" w:line="235"/>
            </w:pPr>
            <w:r>
              <w:rPr>
                <w:rFonts w:ascii="Calibri" w:cs="Calibri" w:eastAsia="Calibri" w:hAnsi="Calibri"/>
                <w:sz w:val="15"/>
                <w:szCs w:val="15"/>
              </w:rPr>
              <w:t xml:space="preserve">Hearing protection mandatory in signed areas. Double protection at the mill and compressor. Time at the point kept to what the task needs.</w:t>
            </w:r>
          </w:p>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Weigh each fraction and calculate the distribution.</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Inhalation of or contact with solid reagent - cyanide briquettes, lime or salt</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Report the fines fraction below the retention screen aperture separately - that is the fraction that will be lost.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Hearing damage in the mill, screen, compressor and blower areas</w:t>
            </w:r>
          </w:p>
          <w:p>
            <w:pPr>
              <w:spacing w:after="30" w:line="235"/>
            </w:pPr>
            <w:r>
              <w:rPr>
                <w:rFonts w:ascii="Calibri" w:cs="Calibri" w:eastAsia="Calibri" w:hAnsi="Calibri"/>
                <w:sz w:val="15"/>
                <w:szCs w:val="15"/>
              </w:rPr>
              <w:t xml:space="preserve">Contact with an agitator, sample cutter, pump or screen that starts without warning</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Hearing protection mandatory in signed areas. Double protection at the mill and compressor. Time at the point kept to what the task needs.</w:t>
            </w:r>
          </w:p>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Trend the fines fraction against the regeneration cycles and against the carbon loss accounting.</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Monthly, and after every regeneration campaign.</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Wash the carbon sample free of slurry and drain it.</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Dry to constant mass at the method temperature. Do not overheat - carbon degrades.</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Screen through the carbon sieve set for the standard period.</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Weigh each fraction and calculate the distribution.</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Report the fines fraction below the retention screen aperture separately - that is the fraction that will be lost.</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Trend the fines fraction against the regeneration cycles and against the carbon loss accounting.</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Sieve set suited to carbon</w:t>
      </w:r>
    </w:p>
    <w:p>
      <w:pPr>
        <w:pStyle w:val="ListParagraph"/>
        <w:numPr>
          <w:ilvl w:val="0"/>
          <w:numId w:val="1"/>
        </w:numPr>
        <w:spacing w:after="60" w:line="245"/>
      </w:pPr>
      <w:r>
        <w:rPr>
          <w:rFonts w:ascii="Calibri" w:cs="Calibri" w:eastAsia="Calibri" w:hAnsi="Calibri"/>
          <w:sz w:val="17"/>
          <w:szCs w:val="17"/>
        </w:rPr>
        <w:t xml:space="preserve">Ro-Tap shaker</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Drying oven</w:t>
      </w:r>
    </w:p>
    <w:p>
      <w:pPr>
        <w:pStyle w:val="ListParagraph"/>
        <w:numPr>
          <w:ilvl w:val="0"/>
          <w:numId w:val="1"/>
        </w:numPr>
        <w:spacing w:after="60" w:line="245"/>
      </w:pPr>
      <w:r>
        <w:rPr>
          <w:rFonts w:ascii="Calibri" w:cs="Calibri" w:eastAsia="Calibri" w:hAnsi="Calibri"/>
          <w:sz w:val="17"/>
          <w:szCs w:val="17"/>
        </w:rPr>
        <w:t xml:space="preserve">Wash bottle</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SWI-PRO-MET-204-014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SWI-PRO-MET-204-014.</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KBK-MIR-MP-PRO-OPE-SOP-0013 Distribusi Ukuran Partikel Karbon Aktivasi</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JSEA-PRO-MET-204-014</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JSEA-PRO-MET-204-014  ·  Carbon Particle Size Distribution and Fines Determination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