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Dry Sieve Analysis - Ro-Tap RX29 and 200 mm Sieve Set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SWI-PRO-MET-204-016  Dry Sieve Analysis - Ro-Tap RX29 and 200 mm Sieve Set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JSEA-PRO-MET-204-016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dry sieve analysis - ro-tap rx29 and 200 mm sieve set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the size distribution of a dry sample by mechanical sieving.</w:t>
      </w:r>
    </w:p>
    <w:p>
      <w:pPr>
        <w:pStyle w:val="ListParagraph"/>
        <w:numPr>
          <w:ilvl w:val="0"/>
          <w:numId w:val="1"/>
        </w:numPr>
        <w:spacing w:after="60" w:line="245"/>
      </w:pPr>
      <w:r>
        <w:rPr>
          <w:rFonts w:ascii="Calibri" w:cs="Calibri" w:eastAsia="Calibri" w:hAnsi="Calibri"/>
          <w:sz w:val="17"/>
          <w:szCs w:val="17"/>
        </w:rPr>
        <w:t xml:space="preserve">The standard sizing method for anything that does not need wet screening first.</w:t>
      </w:r>
    </w:p>
    <w:p>
      <w:pPr>
        <w:spacing w:after="60" w:before="0" w:line="245"/>
      </w:pPr>
      <w:r>
        <w:rPr>
          <w:rFonts w:ascii="Calibri" w:cs="Calibri" w:eastAsia="Calibri" w:hAnsi="Calibri"/>
          <w:sz w:val="17"/>
          <w:szCs w:val="17"/>
        </w:rPr>
        <w:t xml:space="preserve">It is read with work instruction SWI-PRO-MET-204-016,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sieve set is clean and the apertures are intact before use.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Dry the sample to constant mass and record the dry mass.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Stack the sieves in descending aperture order with the pan at the bottom.</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Load the sample onto the top sieve. Do not overload - an overloaded sieve blinds and under-reports the fines.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Shake on the Ro-Tap for the standard period with the sound enclosure closed.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Weigh each retained fraction and the pan.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Check the sum against the dry mass and repeat if the loss exceeds tolerance.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Clean the sieves immediately after use and record the sieve set identity against the result.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As required by the analysis schedule.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sieve set is clean and the apertures are intact before use.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Dry the sample to constant mass and record the dry mass.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Stack the sieves in descending aperture order with the pan at the bottom.</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Load the sample onto the top sieve. Do not overload - an overloaded sieve blinds and under-reports the fines.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Shake on the Ro-Tap for the standard period with the sound enclosure closed.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Weigh each retained fraction and the pan.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Check the sum against the dry mass and repeat if the loss exceeds tolerance.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Clean the sieves immediately after use and record the sieve set identity against the result.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Ro-Tap RX29 and sound enclosure</w:t>
      </w:r>
    </w:p>
    <w:p>
      <w:pPr>
        <w:pStyle w:val="ListParagraph"/>
        <w:numPr>
          <w:ilvl w:val="0"/>
          <w:numId w:val="1"/>
        </w:numPr>
        <w:spacing w:after="60" w:line="245"/>
      </w:pPr>
      <w:r>
        <w:rPr>
          <w:rFonts w:ascii="Calibri" w:cs="Calibri" w:eastAsia="Calibri" w:hAnsi="Calibri"/>
          <w:sz w:val="17"/>
          <w:szCs w:val="17"/>
        </w:rPr>
        <w:t xml:space="preserve">200 mm sieve set 38 um to 2 mm</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Brushes</w:t>
      </w:r>
    </w:p>
    <w:p>
      <w:pPr>
        <w:pStyle w:val="ListParagraph"/>
        <w:numPr>
          <w:ilvl w:val="0"/>
          <w:numId w:val="1"/>
        </w:numPr>
        <w:spacing w:after="60" w:line="245"/>
      </w:pPr>
      <w:r>
        <w:rPr>
          <w:rFonts w:ascii="Calibri" w:cs="Calibri" w:eastAsia="Calibri" w:hAnsi="Calibri"/>
          <w:sz w:val="17"/>
          <w:szCs w:val="17"/>
        </w:rPr>
        <w:t xml:space="preserve">Ultrasonic sieve cleaner</w:t>
      </w:r>
    </w:p>
    <w:p>
      <w:pPr>
        <w:pStyle w:val="ListParagraph"/>
        <w:numPr>
          <w:ilvl w:val="0"/>
          <w:numId w:val="1"/>
        </w:numPr>
        <w:spacing w:after="60" w:line="245"/>
      </w:pPr>
      <w:r>
        <w:rPr>
          <w:rFonts w:ascii="Calibri" w:cs="Calibri" w:eastAsia="Calibri" w:hAnsi="Calibri"/>
          <w:sz w:val="17"/>
          <w:szCs w:val="17"/>
        </w:rPr>
        <w:t xml:space="preserve">Receiving pan</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SWI-PRO-MET-204-016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SWI-PRO-MET-204-016.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Ro-Tap RX29 shaker, sound enclosure and twelve 200 mm sieves</w:t>
      </w:r>
    </w:p>
    <w:p>
      <w:pPr>
        <w:pStyle w:val="ListParagraph"/>
        <w:numPr>
          <w:ilvl w:val="0"/>
          <w:numId w:val="1"/>
        </w:numPr>
        <w:spacing w:after="60" w:line="245"/>
      </w:pPr>
      <w:r>
        <w:rPr>
          <w:rFonts w:ascii="Calibri" w:cs="Calibri" w:eastAsia="Calibri" w:hAnsi="Calibri"/>
          <w:sz w:val="17"/>
          <w:szCs w:val="17"/>
        </w:rPr>
        <w:t xml:space="preserve">KBK-MIR-LAB-PRE-SOP-008 Uji Kehalusan Sampel</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JSEA-PRO-MET-204-016  ·  Dry Sieve Analysis - Ro-Tap RX29 and 200 mm Sieve Set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