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Analyser Calibration and Standardisation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SWI-PRO-MET-207-008  Cyanide Analyser Calibration and Standardisation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analyser calibration and standardisation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and standardise the online cyanide analysers against known standards.</w:t>
      </w:r>
    </w:p>
    <w:p>
      <w:pPr>
        <w:spacing w:after="60" w:before="0" w:line="245"/>
      </w:pPr>
      <w:r>
        <w:rPr>
          <w:rFonts w:ascii="Calibri" w:cs="Calibri" w:eastAsia="Calibri" w:hAnsi="Calibri"/>
          <w:sz w:val="17"/>
          <w:szCs w:val="17"/>
        </w:rPr>
        <w:t xml:space="preserve">It is read with work instruction SWI-PRO-MET-207-008,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as a full calibration procedure.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Partial source now held: KBK MET SOP-0053 gives the potassium chloride electrolyte preparation the analyser needs.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032-CA-001 and 051-CA-002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Online cyanide analysers</w:t>
            </w:r>
          </w:p>
        </w:tc>
      </w:tr>
    </w:tbl>
    <w:p>
      <w:pPr>
        <w:spacing w:after="60" w:before="0" w:line="245"/>
      </w:pPr>
    </w:p>
    <w:p>
      <w:pPr>
        <w:spacing w:after="60" w:before="0" w:line="245"/>
      </w:pPr>
      <w:r>
        <w:rPr>
          <w:rFonts w:ascii="Calibri" w:cs="Calibri" w:eastAsia="Calibri" w:hAnsi="Calibri"/>
          <w:sz w:val="17"/>
          <w:szCs w:val="17"/>
        </w:rPr>
        <w:t xml:space="preserve">Frequency: To be set once the vendor calibration data is held.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as a full calibration procedure.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Partial source now held: KBK MET SOP-0053 gives the potassium chloride electrolyte preparation the analyser needs.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Potassium chloride electrolyte per KBK MET SOP-0053</w:t>
      </w:r>
    </w:p>
    <w:p>
      <w:pPr>
        <w:pStyle w:val="ListParagraph"/>
        <w:numPr>
          <w:ilvl w:val="0"/>
          <w:numId w:val="1"/>
        </w:numPr>
        <w:spacing w:after="60" w:line="245"/>
      </w:pPr>
      <w:r>
        <w:rPr>
          <w:rFonts w:ascii="Calibri" w:cs="Calibri" w:eastAsia="Calibri" w:hAnsi="Calibri"/>
          <w:sz w:val="17"/>
          <w:szCs w:val="17"/>
        </w:rPr>
        <w:t xml:space="preserve">Cyanide standards</w:t>
      </w:r>
    </w:p>
    <w:p>
      <w:pPr>
        <w:pStyle w:val="ListParagraph"/>
        <w:numPr>
          <w:ilvl w:val="0"/>
          <w:numId w:val="1"/>
        </w:numPr>
        <w:spacing w:after="60" w:line="245"/>
      </w:pPr>
      <w:r>
        <w:rPr>
          <w:rFonts w:ascii="Calibri" w:cs="Calibri" w:eastAsia="Calibri" w:hAnsi="Calibri"/>
          <w:sz w:val="17"/>
          <w:szCs w:val="17"/>
        </w:rPr>
        <w:t xml:space="preserve">Fume-controlled position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KBK-MIR-MP-PRO-MET-SOP-0053 Pembuatan Larutan Kalium Klorida untuk Cyanide Analizer, received 11 Aug 2026 - the electrolyte preparation only</w:t>
      </w:r>
    </w:p>
    <w:p>
      <w:pPr>
        <w:pStyle w:val="ListParagraph"/>
        <w:numPr>
          <w:ilvl w:val="0"/>
          <w:numId w:val="1"/>
        </w:numPr>
        <w:spacing w:after="60" w:line="245"/>
      </w:pPr>
      <w:r>
        <w:rPr>
          <w:rFonts w:ascii="Calibri" w:cs="Calibri" w:eastAsia="Calibri" w:hAnsi="Calibri"/>
          <w:sz w:val="17"/>
          <w:szCs w:val="17"/>
        </w:rPr>
        <w:t xml:space="preserve">Molycop Cynoprobe v3 WAD calibration data not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JSEA-PRO-MET-207-008  ·  Cyanide Analyser Calibration and Standardisation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