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Cyanide Analyser Specialised Electrode Replacement and Conditioning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SWI-PRO-MET-207-009  Cyanide Analyser Specialised Electrode Replacement and Conditioning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JSEA-PRO-MET-207-009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cyanide analyser specialised electrode replacement and conditioning in 207  Automatic Sampling and Online Analysers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Replace and condition the specialised electrodes in the online cyanide analysers.</w:t>
      </w:r>
    </w:p>
    <w:p>
      <w:pPr>
        <w:spacing w:after="60" w:before="0" w:line="245"/>
      </w:pPr>
      <w:r>
        <w:rPr>
          <w:rFonts w:ascii="Calibri" w:cs="Calibri" w:eastAsia="Calibri" w:hAnsi="Calibri"/>
          <w:sz w:val="17"/>
          <w:szCs w:val="17"/>
        </w:rPr>
        <w:t xml:space="preserve">It is read with work instruction SWI-PRO-MET-207-009, which gives the step-by-step method, and with HM-PRC-VXX-PRO211 Automatic Sampling and Online Analyser Operation,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Mintex 3000366 and 3000330</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Analyser electrodes identified in the instrument list</w:t>
            </w:r>
          </w:p>
        </w:tc>
      </w:tr>
    </w:tbl>
    <w:p>
      <w:pPr>
        <w:spacing w:after="60" w:before="0" w:line="245"/>
      </w:pPr>
    </w:p>
    <w:p>
      <w:pPr>
        <w:spacing w:after="60" w:before="0" w:line="245"/>
      </w:pPr>
      <w:r>
        <w:rPr>
          <w:rFonts w:ascii="Calibri" w:cs="Calibri" w:eastAsia="Calibri" w:hAnsi="Calibri"/>
          <w:sz w:val="17"/>
          <w:szCs w:val="17"/>
        </w:rPr>
        <w:t xml:space="preserve">Frequency: To be set once the vendor manual is held.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Molycop Cynoprobe manual is held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SWI-PRO-MET-207-009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SWI-PRO-MET-207-009.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Electrodes identified as Mintex 3000366 and 3000330 in the instrument list. No procedure held.</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JSEA-PRO-MET-207-009  ·  Cyanide Analyser Specialised Electrode Replacement and Conditioning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