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Cyanide Analyser Sample and Booster Pump Service - 032-PP-207/208 and 041-PP-2xx</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JSEA-PRO-MET-207-010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SWI-PRO-MET-207-010  Cyanide Analyser Sample and Booster Pump Service - 032-PP-207/208 and 041-PP-2xx</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HM-PRC-VXX-PRO211  Automatic Sampling and Online Analyser Operation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207  Automatic Sampling and Online Analysers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JSEA-PRO-MET-207-010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tbl>
      <w:tblPr>
        <w:tblW w:type="dxa" w:w="9026"/>
        <w:tblBorders>
          <w:left w:val="single" w:color="9E2A2A" w:sz="18"/>
        </w:tblBorders>
        <w:tblCellMar>
          <w:top w:type="dxa" w:w="90"/>
          <w:left w:type="dxa" w:w="150"/>
          <w:bottom w:type="dxa" w:w="90"/>
          <w:right w:type="dxa" w:w="120"/>
        </w:tblCellMar>
      </w:tblPr>
      <w:tblGrid>
        <w:gridCol w:w="9026"/>
      </w:tblGrid>
      <w:tr>
        <w:tc>
          <w:tcPr>
            <w:tcW w:type="dxa" w:w="9026"/>
            <w:shd w:val="clear" w:color="auto" w:fill="FDECEC"/>
          </w:tcPr>
          <w:p>
            <w:pPr>
              <w:spacing w:after="0" w:before="0" w:line="245"/>
            </w:pPr>
            <w:r>
              <w:rPr>
                <w:rFonts w:ascii="Calibri" w:cs="Calibri" w:eastAsia="Calibri" w:hAnsi="Calibri"/>
                <w:b/>
                <w:bCs/>
                <w:color w:val="9E2A2A"/>
                <w:sz w:val="17"/>
                <w:szCs w:val="17"/>
              </w:rPr>
              <w:t xml:space="preserve">ISSUED BUT NOT FOR USE. This document is a placeholder against the register line so the line is not empty. It cannot be used until the named input arrives - see the folder README for the blocker and what closes it.</w:t>
            </w:r>
          </w:p>
        </w:tc>
      </w:tr>
    </w:tbl>
    <w:p>
      <w:pPr>
        <w:spacing w:after="4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cyanide analyser sample and booster pump service - 032-pp-207/208 and 041-pp-2xx in 207  Automatic Sampling and Online Analysers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Service the sample and booster pumps that feed the online cyanide analysers.</w:t>
      </w:r>
    </w:p>
    <w:p>
      <w:pPr>
        <w:spacing w:after="60" w:before="0" w:line="245"/>
      </w:pPr>
      <w:r>
        <w:rPr>
          <w:rFonts w:ascii="Calibri" w:cs="Calibri" w:eastAsia="Calibri" w:hAnsi="Calibri"/>
          <w:sz w:val="17"/>
          <w:szCs w:val="17"/>
        </w:rPr>
        <w:t xml:space="preserve">It is read with work instruction SWI-PRO-MET-207-010, which gives the step-by-step method, and with HM-PRC-VXX-PRO211 Automatic Sampling and Online Analyser Operation,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This task cannot be completed. See the folder README for the blocker.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Release from a pressurised sample line, hose or fitting</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The document is issued so the register line is not empty, and is marked NOT FOR USE.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Release from a pressurised sample line, hose or fitting</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032-PP-207 / 032-PP-208</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Analyser sample and booster pumps</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041-PP-2xx</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Analyser sample pumps - tag to be confirmed</w:t>
            </w:r>
          </w:p>
        </w:tc>
      </w:tr>
    </w:tbl>
    <w:p>
      <w:pPr>
        <w:spacing w:after="60" w:before="0" w:line="245"/>
      </w:pPr>
    </w:p>
    <w:p>
      <w:pPr>
        <w:spacing w:after="60" w:before="0" w:line="245"/>
      </w:pPr>
      <w:r>
        <w:rPr>
          <w:rFonts w:ascii="Calibri" w:cs="Calibri" w:eastAsia="Calibri" w:hAnsi="Calibri"/>
          <w:sz w:val="17"/>
          <w:szCs w:val="17"/>
        </w:rPr>
        <w:t xml:space="preserve">Frequency: To be set once the vendor manual is held.</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This task cannot be completed. See the folder README for the blocker.</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The document is issued so the register line is not empty, and is marked NOT FOR USE.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To be confirmed once the Vender Dura 10 pump manual is held</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SWI-PRO-MET-207-010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SWI-PRO-MET-207-010.</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Vender Dura 10 pumps are listed as part of the Molycop package. No vendor manual held.</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JSEA-PRO-MET-207-010</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JSEA-PRO-MET-207-010  ·  Cyanide Analyser Sample and Booster Pump Service - 032-PP-207/208 and 041-PP-2xx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