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Cyanide Analyser Leak Detector and High Level Alarm Response</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JSEA-PRO-MET-207-011</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SWI-PRO-MET-207-011  Cyanide Analyser Leak Detector and High Level Alarm Response</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JSEA-PRO-MET-207-011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cyanide analyser leak detector and high level alarm response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Respond to a leak detector or high level alarm on an online cyanide analyser.</w:t>
      </w:r>
    </w:p>
    <w:p>
      <w:pPr>
        <w:pStyle w:val="ListParagraph"/>
        <w:numPr>
          <w:ilvl w:val="0"/>
          <w:numId w:val="1"/>
        </w:numPr>
        <w:spacing w:after="60" w:line="245"/>
      </w:pPr>
      <w:r>
        <w:rPr>
          <w:rFonts w:ascii="Calibri" w:cs="Calibri" w:eastAsia="Calibri" w:hAnsi="Calibri"/>
          <w:sz w:val="17"/>
          <w:szCs w:val="17"/>
        </w:rPr>
        <w:t xml:space="preserve">The analyser enclosure holds cyanide-bearing solution. A leak inside it is a confined cyanide release.</w:t>
      </w:r>
    </w:p>
    <w:p>
      <w:pPr>
        <w:spacing w:after="60" w:before="0" w:line="245"/>
      </w:pPr>
      <w:r>
        <w:rPr>
          <w:rFonts w:ascii="Calibri" w:cs="Calibri" w:eastAsia="Calibri" w:hAnsi="Calibri"/>
          <w:sz w:val="17"/>
          <w:szCs w:val="17"/>
        </w:rPr>
        <w:t xml:space="preserve">It is read with work instruction SWI-PRO-MET-207-011,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Hydrogen cyanide gas released at the open sample point</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Until it is written, treat any leak or high level alarm on an analyser as a cyanide release: do not open the enclosure, evacuate the immediate area, and report it to the control room.</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30" w:line="235"/>
            </w:pPr>
            <w:r>
              <w:rPr>
                <w:rFonts w:ascii="Calibri" w:cs="Calibri" w:eastAsia="Calibri" w:hAnsi="Calibri"/>
                <w:sz w:val="15"/>
                <w:szCs w:val="15"/>
              </w:rPr>
              <w:t xml:space="preserve">Splash of cyanide-bearing slurry or solution to skin or eyes</w:t>
            </w:r>
          </w:p>
          <w:p>
            <w:pPr>
              <w:spacing w:after="0" w:line="235"/>
            </w:pPr>
            <w:r>
              <w:rPr>
                <w:rFonts w:ascii="Calibri" w:cs="Calibri" w:eastAsia="Calibri" w:hAnsi="Calibri"/>
                <w:sz w:val="15"/>
                <w:szCs w:val="15"/>
              </w:rPr>
              <w:t xml:space="preserve">Contact with live electrical equipment at a sample pump, cutter or local control station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30" w:line="235"/>
            </w:pPr>
            <w:r>
              <w:rPr>
                <w:rFonts w:ascii="Calibri" w:cs="Calibri" w:eastAsia="Calibri" w:hAnsi="Calibri"/>
                <w:sz w:val="15"/>
                <w:szCs w:val="15"/>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pPr>
              <w:spacing w:after="0" w:line="235"/>
            </w:pPr>
            <w:r>
              <w:rPr>
                <w:rFonts w:ascii="Calibri" w:cs="Calibri" w:eastAsia="Calibri" w:hAnsi="Calibri"/>
                <w:sz w:val="15"/>
                <w:szCs w:val="15"/>
              </w:rPr>
              <w:t xml:space="preserve">No opening of electrical enclosures. Faults reported, not investigated. Isolation, lock-out, tag-out and test-for-dead by an authorised person before any electrical work.</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Azbil HPQ-D12</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Leak detector - vendor scope</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E&amp;H FTL31</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High level switch - vendor scope</w:t>
            </w:r>
          </w:p>
        </w:tc>
      </w:tr>
    </w:tbl>
    <w:p>
      <w:pPr>
        <w:spacing w:after="60" w:before="0" w:line="245"/>
      </w:pPr>
    </w:p>
    <w:p>
      <w:pPr>
        <w:spacing w:after="60" w:before="0" w:line="245"/>
      </w:pPr>
      <w:r>
        <w:rPr>
          <w:rFonts w:ascii="Calibri" w:cs="Calibri" w:eastAsia="Calibri" w:hAnsi="Calibri"/>
          <w:sz w:val="17"/>
          <w:szCs w:val="17"/>
        </w:rPr>
        <w:t xml:space="preserve">Frequency: To be set once the alarm response is defined.</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Until it is written, treat any leak or high level alarm on an analyser as a cyanide release: do not open the enclosure, evacuate the immediate area, and report it to the control room.</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Personal HCN monitor</w:t>
      </w:r>
    </w:p>
    <w:p>
      <w:pPr>
        <w:pStyle w:val="ListParagraph"/>
        <w:numPr>
          <w:ilvl w:val="0"/>
          <w:numId w:val="1"/>
        </w:numPr>
        <w:spacing w:after="60" w:line="245"/>
      </w:pPr>
      <w:r>
        <w:rPr>
          <w:rFonts w:ascii="Calibri" w:cs="Calibri" w:eastAsia="Calibri" w:hAnsi="Calibri"/>
          <w:sz w:val="17"/>
          <w:szCs w:val="17"/>
        </w:rPr>
        <w:t xml:space="preserve">To be confirmed once the vendor documentation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SWI-PRO-MET-207-011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SWI-PRO-MET-207-011.</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Azbil HPQ-D12 leak detector and E&amp;H FTL31 level switch are vendor scope. No alarm response held.</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JSEA-PRO-MET-207-011</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JSEA-PRO-MET-207-011  ·  Cyanide Analyser Leak Detector and High Level Alarm Response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