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Acid Spill Response and Neutralisation - Wet Lab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HM-MMM-WHS-FRM-031-R01-JSEA-PRO-LAB-302-027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Raise the alarm and clear anyone not needed for the response.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Where the spill is near cyanide-bearing material or waste, treat it as a potential HCN release - evacuate, close the door and do not attempt an unprotected clean-up.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Contain the spill before neutralising. Never flush acid to drain untreated.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Apply neutraliser from the outside of the spill inwards, slowly. Fast addition to concentrated acid generates heat and spatter.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Confirm neutralisation with pH paper before absorbing.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Absorb, bag and label for chemical waste disposal.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On skin or eye contact, flood at the shower or eyewash for at least 15 minutes. For hydrofluoric acid, apply calcium gluconate gel and treat as a medical emergency regardless of how the skin looks.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and record every spill, however small.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JSEA-PRO-LAB-302-027 Acid Spill Response and Neutralisation - Wet Lab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