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Sample Reading - Gold and Silver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Fit the correct lamp for the element and allow it the warm-up period the manual states. A cold lamp drifts.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Set the wavelength, slit and lamp current to the PerkinElmer method values, not to values carried over from a GBC method.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Calibrate across the standard range before reading any sample, and confirm the correlation meets the acceptance criterion.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Read the quality control samples at the positions the batch sheet specifies.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Read samples in batch order, aspirating blank between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Re-read a drift check standard at the interval the method sets. Where drift exceeds tolerance, recalibrate and re-read everything back to the last good check.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Dilute and re-read any sample above the top standard. Never extrapolate above the calibration.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dilution factor with every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JSEA-PRO-LAB-303-002 AAS Sample Reading - Gold and Silver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