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AAS Calibration, Standardisation and Drift Check (303  AAS and Instruments)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HM-MMM-WHS-FRM-031-R01-JSEA-PRO-LAB-303-004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Prepare or take out calibration standards that are in date and matrix-matched.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Run the blank first and confirm it reads within its acceptance limit. A high blank means contamination somewhere upstream, not a calibration problem.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Calibrate across the working range with at least the number of points the method requires.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Confirm the calibration correlation and the slope against the acceptance criteria. Record both.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Compare the slope against the previous session. A steadily falling slope is a lamp or nebuliser problem developing.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Run a drift check standard at the interval the method sets.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2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H10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Where drift exceeds tolerance, recalibrate and re-read every sample back to the last good check. Do not correct results arithmetically.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8. Record every calibration and drift check in the log against the instrument.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live electrical equipment at a sample pump, cutter or local control station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opening of electrical enclosures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Faults reported, not investigated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Isolation, lock-out, tag-out and test-for-dead by an authorised person before any electrical work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Laboratory Technician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-R01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15/10/2026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R01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/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JSEA-PRO-LAB-303-004 AAS Calibration, Standardisation and Drift Check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