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Preparation of Sulphuric Acid (1+1) and Nitric Acid (1+1) (304  Environmental Analysis)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HM-MMM-WHS-FRM-031-R01-JSEA-PRO-LAB-304-023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Work in the fume cupboard with the airflow confirmed.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Check the balance verification is current, and that every reagent to be used is in date and correctly labelled.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Weigh or measure the reagent as the method requires and record the exact quantity.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ALWAYS add the acid to the water, slowly, with stirring and cooling. Adding water to concentrated sulphuric acid boils it and throws acid out of the vessel.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Make up to the mark in a volumetric flask at the reference temperature.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Mix thoroughly by inversion, not by shaking, so no material is left on the neck.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Label the container immediately with the identity, concentration, preparation date, expiry and the preparer's initials. An unlabelled solution is discarded, not guessed at.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Record the preparation in the solution register, and standardise it against a primary standard where the method calls for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9. Store as the method requires - in the corrosives cabinet.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JSEA-PRO-LAB-304-023 Preparation of Sulphuric Acid (1+1) and Nitric Acid (1+1)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