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Compressed Air System and Pressure Vessel Statutory Inspection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receiver is registered and its statutory inspection is current BEFORE it is put into service. An uninspected registered vessel must not be pressurised.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Drain the receiver and dryer trap daily, standing clear of the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drain. Undrained condensate corrodes the vessel from the inside where it cannot be seen.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oil level and the intake filter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pressure relief valve has been tested within its interval and is not painted over or obstructed.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Never isolate, block or adjust a relief valve.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Depressurise and isolate before any work on the receiver or its fittings.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Keep the inspection certificate with the asset register and diarise the next inspection.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JSEA-PRO-LAB-305-014 Laboratory Compressed Air System and Pressure Vessel Statutory Inspection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