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Gold Elution, Electrowinning and Pre-Soak Solution Sampling (061 / 062 Gold recovery)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HM-MMM-WHS-FRM-031-R01-JSEA-PRO-MET-201-013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with the control room where the batch is in the elution sequence before approaching.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Mercury vapour in the gold room, elution and retort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Area ventilation confirmed running before entry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Mercury vapour monitoring where the site procedure requires 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eating, drinking or smoking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Hands washed before leaving the area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Do NOT sample a column that is under pressure or on a heating cycle. Confirm the circuit is at the sampling condition stated in the elution procedure.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Flush the sample line and let the first flow discharge to drain until the temperature at the point is steady.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Collect into a heat-resistant bottle held below the point, not in line with the discharge.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Allow the sample to cool before taking pH or titrating - a hot cyanide solution releases HCN faster and gives a false reading.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Bottle and label for gold, silver and copper assay.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Mercury vapour in the gold room, elution and retort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Area ventilation confirmed running before entry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Mercury vapour monitoring where the site procedure requires 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eating, drinking or smoking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Hands washed before leaving the area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batch number, elution stage, solution temperature and flow at the time of sampling.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Mercury vapour in the gold room, elution and retort areas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Area ventilation confirmed running before entry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Mercury vapour monitoring where the site procedure requires 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eating, drinking or smoking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Hands washed before leaving the area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JSEA-PRO-MET-201-013 Gold Elution, Electrowinning and Pre-Soak Solution Sampling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