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Resin Inventory and Resin Movement Accounting (202  Metallurgical Accounting)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HM-MMM-WHS-FRM-031-R01-JSEA-PRO-MET-202-006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Record every fresh resin addition and every conditioning batch - date, volume, batch.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Record every transfer between adsorption tanks and to and from the elution columns, with direction and volume.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Record resin found on any screen undersize or in any launder as a loss, with the location.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Reconcile the inventory from the concentration measurements against the movement record.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Compare bead size distribution against the previous count - a shift to fines is attrition and predicts the next loss.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An accounting or reconciliation error that hides a real metal loss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input traceable to a signed source - weighbridge ticket, laboratory certificate, survey sheet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Inputs entered once and cross-checked by a second person before the balance is closed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Any variance outside the agreed tolerance investigated and recorded before the period is signed off, never adjusted to force a balance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Report the resin balance with the monthly close and against RA-01.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JSEA-PRO-MET-202-006 Resin Inventory and Resin Movement Accounting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