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Bullion Reconciliation Against Refinery Outturn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dispatch record is complete - bar numbers, weights, site assays, seal numbers, carrier and date - and countersigned by two people.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On receipt of the refinery outturn, compare bar by bar against the site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Reconcile weight first, then assay. A weight difference is a handling or scale problem; an assay difference is a laboratory problem.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Where the difference exceeds the settlement tolerance, request an umpire assay before accepting the outturn.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Track the site-to-refinery assay difference over time. A consistent bias in one direction is a laboratory calibration issue, not chance.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Feed the accepted outturn into the monthly metal accounting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File the outturn statement against the dispatch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Exposure to a gold security incident, and to suspicion in one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rule in the gold room, lock-up and bullion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Access controlled and logged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Nothing carried in or out except through the controlled route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movement recorded and countersigned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work alone with unsecured product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JSEA-PRO-MET-202-008 Bullion Reconciliation Against Refinery Outturn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