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Dispatch, Umpire Assay and External Laboratory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Select and prepare the samples for dispatch per the site protocol - umpire splits, check assays and any sample the site laboratory cannot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Label and seal each sample, and record it in the dispatch register with the seal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Complete the chain of custody form and obtain a signature at each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dispatch date, carrier and expected turnaround.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On receipt of results, compare against the site result for the same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Track the site-to-external difference over time and report any developing bias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certificate against the dispatch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JSEA-PRO-MET-202-010 Sample Dispatch, Umpire Assay and External Laboratory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