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Investigation and Correction of Mass Balance Discrepancy (202  Metallurgical Accounting)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HM-MMM-WHS-FRM-031-R01-JSEA-PRO-MET-202-012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the discrepancy is real - re-run the balance before investigating anything.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Work outwards from the largest term. A one per cent error on feed tonnes is bigger than a fifty per cent error on a minor stream.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An accounting or reconciliation error that hides a real metal loss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input traceable to a signed source - weighbridge ticket, laboratory certificate, survey sheet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Inputs entered once and cross-checked by a second person before the balance is closed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Any variance outside the agreed tolerance investigated and recorded before the period is signed off, never adjusted to force a balance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Test each input against its source in turn - weightometer against a survey, assay against a duplicate, inventory against a physical count.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An accounting or reconciliation error that hides a real metal loss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input traceable to a signed source - weighbridge ticket, laboratory certificate, survey sheet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Inputs entered once and cross-checked by a second person before the balance is closed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Any variance outside the agreed tolerance investigated and recorded before the period is signed off, never adjusted to force a balance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Check the instruments involved against their last calibration, and the laboratory against its QA/QC data for the period.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Look for a real loss before concluding it is a measurement error - carbon or resin carry-over, a solution loss, an unrecorded movement.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Record the investigation and the conclusion, including what was ruled out.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Correct the cause. Only restate a number where the source document supports the restatement.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An accounting or reconciliation error that hides a real metal loss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input traceable to a signed source - weighbridge ticket, laboratory certificate, survey sheet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Inputs entered once and cross-checked by a second person before the balance is closed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Any variance outside the agreed tolerance investigated and recorded before the period is signed off, never adjusted to force a balance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Report the discrepancy, the cause and the correction with the period close.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JSEA-PRO-MET-202-012 Investigation and Correction of Mass Balance Discrepancy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