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Thickener Performance Survey - Flux, Bed Level and Flocculant Response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thickener at steady state - feed rate, feed density, bed level, rake torque, underflow rate and flocculant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feed, overflow and underflow simultaneously.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feed and underflow density on the Marcy scale and overflow suspended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solids flux and compare against the design flux from the Roytec control philosophy.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 settling test on the feed at the current flocculant dose and at two other doses, and record the settling rate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Vary the flocculant dose within the agreed range and record the overflow clarity response after each change has settled.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optimum dose, the achieved flux and any deviation from the vendor design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JSEA-PRO-MET-203-007 Thickener Performance Survey - Flux, Bed Level and Flocculant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