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Resin Loss Quantification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inventory reconciliation for the period as the starting point - it says how much is missing.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stream leaving the circuit that could carry carbon or resin: screen undersizes, thickener overflow and underflow, the tailings line, and any launder or sump overflow.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Recover, dry and weigh carbon and resin from each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Estimate attrition from the bead and particle size distribution trend rather than from a single measurement.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Add the located losses and compare against the reconciliation gap.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located loss does not account for the gap, look for an unrecorded movement or a spillage route before concluding it is attrition.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by location so the fix can be targeted, and update RA-01 and RA-02.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JSEA-PRO-MET-203-011 Carbon and Resin Loss Quantification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