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Static and Dynamic Settling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Flocculant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sample at the thickener feed density and record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Make up flocculant at the plant strength. A test run on differently prepared flocculant does not transfer to the plant.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Fill the cylinder, add the flocculant dose and mix with the plunger using the standard number of strokes. Over-mixing shears the floc and understates the settling rate.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Start the clock and record the interface height at set intervals.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Continue until the interface stops moving, then record the compaction over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Repeat at three or more flocculant doses to find the response curve.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the settling rate and the achievable underflow density for each dose.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optimum dose and the flux against the thickener design basis.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JSEA-PRO-MET-204-009 Static and Dynamic Settling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