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Resin Particle Size Distribution and Fines Determination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Wash the resin sample free of slurry over the retention aperture and drain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Do not dry the resin to the point of shrinkage - measure it in the drained wet state the method specifies.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Screen through the sieve set on the Ro-Tap for the standard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Weigh or measure the volume of each fraction.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Calculate the distribution and report the fraction below the screen retention aperture as the at-risk fraction.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Inspect a counted subsample for broken and cracked beads and report whole bead count as a percentage.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Trend against the previous month and against the resin loss accounting.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JSEA-PRO-MET-204-015 Resin Particle Size Distribution and Fines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