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Laboratory Waste Segregation, Storage and Disposal (305  Laboratory Services)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HM-MMM-WHS-FRM-031-R03-JSEA-PRO-LAB-305-009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(HCl); Silver nitrate (AgNO3) titrant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Segregate at the bench. Cyanide-bearing, acidic, solvent and general waste each get their own container.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NEVER put acidic waste into a cyanide-bearing container. That generates HCN inside a closed bin.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Neutralise acidic waste and confirm with pH paper before it goes to any shared route.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Label every container with contents, hazard and accumulation start date.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Keep containers closed except when adding waste.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Log waste as it is generated, not from memory later.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Confirm the destination for cyanide-bearing effluent before generating any. This is still not confirmed for this site.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Arrange removal at the set interval and file the disposal documentation.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JSEA-PRO-LAB-305-009 Laboratory Waste Segregation, Storage and Disposal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