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Oxygen Utilisation and Sparger Performance Survey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HM-MMM-WHS-FRM-031-R03-JSEA-PRO-MET-203-012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the oxygen supply pressure and flow to each sparger from the control system.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Measure dissolved oxygen at several depths and positions in the tank, not at one point. A single reading at the launder does not describe the tank.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the DO reading immediately on sampling - atmospheric exchange starts as soon as the sample is drawn.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Calculate oxygen utilisation from the injected flow and the measured dissolved oxygen against the consumption implied by the leach rate.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the sparger operating pressure against the Hypersparge instructions. A sparger operating below its design pressure is not atomising.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Inspect the sparger condition against the vendor criteria where access allows.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utilisation, the DO profile and any sparger due for cleaning or replacement.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JSEA-PRO-MET-203-012 Oxygen Utilisation and Sparger Performance Survey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