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Static and Dynamic Settling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Flocculant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the sample at the thickener feed density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Make up flocculant at the plant strength. A test run on differently prepared flocculant does not transfer to the plant.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Fill the cylinder, add the flocculant dose and mix with the plunger using the standard number of strokes. Over-mixing shears the floc and understates the settling rate.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Start the clock and record the interface height at set intervals.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Continue until the interface stops moving, then record the compaction over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Repeat at three or more flocculant doses to find the response curve.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Calculate the settling rate and the achievable underflow density for each dose.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optimum dose and the flux against the thickener design basis.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JSEA-PRO-MET-204-009 Static and Dynamic Settling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